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6011C0">
        <w:trPr>
          <w:trHeight w:hRule="exact" w:val="851"/>
        </w:trPr>
        <w:tc>
          <w:tcPr>
            <w:tcW w:w="1280" w:type="dxa"/>
            <w:tcBorders>
              <w:bottom w:val="single" w:sz="4" w:space="0" w:color="auto"/>
            </w:tcBorders>
            <w:shd w:val="clear" w:color="auto" w:fill="auto"/>
          </w:tcPr>
          <w:p w:rsidR="002D5AAC" w:rsidRDefault="002D5AAC" w:rsidP="006011C0">
            <w:bookmarkStart w:id="0" w:name="_GoBack"/>
            <w:bookmarkEnd w:id="0"/>
          </w:p>
        </w:tc>
        <w:tc>
          <w:tcPr>
            <w:tcW w:w="2273" w:type="dxa"/>
            <w:tcBorders>
              <w:bottom w:val="single" w:sz="4" w:space="0" w:color="auto"/>
            </w:tcBorders>
            <w:shd w:val="clear" w:color="auto" w:fill="auto"/>
            <w:vAlign w:val="bottom"/>
          </w:tcPr>
          <w:p w:rsidR="002D5AAC" w:rsidRPr="00B10CED" w:rsidRDefault="00BD33EE" w:rsidP="006011C0">
            <w:pPr>
              <w:spacing w:after="80" w:line="300" w:lineRule="exact"/>
              <w:rPr>
                <w:sz w:val="28"/>
              </w:rPr>
            </w:pPr>
            <w:r w:rsidRPr="00B10CED">
              <w:rPr>
                <w:sz w:val="28"/>
              </w:rPr>
              <w:t>Naciones Unidas</w:t>
            </w:r>
          </w:p>
        </w:tc>
        <w:tc>
          <w:tcPr>
            <w:tcW w:w="6086" w:type="dxa"/>
            <w:gridSpan w:val="2"/>
            <w:tcBorders>
              <w:bottom w:val="single" w:sz="4" w:space="0" w:color="auto"/>
            </w:tcBorders>
            <w:shd w:val="clear" w:color="auto" w:fill="auto"/>
            <w:vAlign w:val="bottom"/>
          </w:tcPr>
          <w:p w:rsidR="002D5AAC" w:rsidRDefault="00625DA2" w:rsidP="00D06FDA">
            <w:pPr>
              <w:jc w:val="right"/>
            </w:pPr>
            <w:r w:rsidRPr="007303F2">
              <w:rPr>
                <w:sz w:val="40"/>
              </w:rPr>
              <w:t>CRPD</w:t>
            </w:r>
            <w:r>
              <w:t>/C/2</w:t>
            </w:r>
            <w:r w:rsidR="00084BD8">
              <w:t>2</w:t>
            </w:r>
            <w:r>
              <w:t>/D/32/2015</w:t>
            </w:r>
          </w:p>
        </w:tc>
      </w:tr>
      <w:tr w:rsidR="002D5AAC" w:rsidTr="006011C0">
        <w:trPr>
          <w:trHeight w:hRule="exact" w:val="2835"/>
        </w:trPr>
        <w:tc>
          <w:tcPr>
            <w:tcW w:w="1280" w:type="dxa"/>
            <w:tcBorders>
              <w:top w:val="single" w:sz="4" w:space="0" w:color="auto"/>
              <w:bottom w:val="single" w:sz="12" w:space="0" w:color="auto"/>
            </w:tcBorders>
            <w:shd w:val="clear" w:color="auto" w:fill="auto"/>
          </w:tcPr>
          <w:p w:rsidR="002D5AAC" w:rsidRDefault="001A5B43" w:rsidP="006011C0">
            <w:pPr>
              <w:spacing w:before="120"/>
              <w:jc w:val="center"/>
            </w:pPr>
            <w:r>
              <w:rPr>
                <w:noProof/>
                <w:lang w:val="es-MX" w:eastAsia="es-MX"/>
              </w:rPr>
              <w:drawing>
                <wp:inline distT="0" distB="0" distL="0" distR="0" wp14:anchorId="011FC191" wp14:editId="3A518EF9">
                  <wp:extent cx="716280" cy="586740"/>
                  <wp:effectExtent l="0" t="0" r="0" b="0"/>
                  <wp:docPr id="2"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shd w:val="clear" w:color="auto" w:fill="auto"/>
          </w:tcPr>
          <w:p w:rsidR="002D5AAC" w:rsidRDefault="00B21487" w:rsidP="006011C0">
            <w:pPr>
              <w:spacing w:before="120" w:line="420" w:lineRule="exact"/>
              <w:rPr>
                <w:b/>
                <w:sz w:val="34"/>
                <w:szCs w:val="34"/>
              </w:rPr>
            </w:pPr>
            <w:r w:rsidRPr="00B10CED">
              <w:rPr>
                <w:b/>
                <w:sz w:val="34"/>
                <w:szCs w:val="34"/>
              </w:rPr>
              <w:t xml:space="preserve">Convención sobre los </w:t>
            </w:r>
            <w:r w:rsidR="00320F20" w:rsidRPr="00B10CED">
              <w:rPr>
                <w:b/>
                <w:sz w:val="34"/>
                <w:szCs w:val="34"/>
              </w:rPr>
              <w:t>Derechos</w:t>
            </w:r>
            <w:r w:rsidRPr="00B10CED">
              <w:rPr>
                <w:b/>
                <w:sz w:val="34"/>
                <w:szCs w:val="34"/>
              </w:rPr>
              <w:br/>
              <w:t xml:space="preserve">de las </w:t>
            </w:r>
            <w:r w:rsidR="00320F20" w:rsidRPr="00B10CED">
              <w:rPr>
                <w:b/>
                <w:sz w:val="34"/>
                <w:szCs w:val="34"/>
              </w:rPr>
              <w:t xml:space="preserve">Personas </w:t>
            </w:r>
            <w:r w:rsidRPr="00B10CED">
              <w:rPr>
                <w:b/>
                <w:sz w:val="34"/>
                <w:szCs w:val="34"/>
              </w:rPr>
              <w:t xml:space="preserve">con </w:t>
            </w:r>
            <w:r w:rsidR="00320F20" w:rsidRPr="00B10CED">
              <w:rPr>
                <w:b/>
                <w:sz w:val="34"/>
                <w:szCs w:val="34"/>
              </w:rPr>
              <w:t>Discapacidad</w:t>
            </w:r>
          </w:p>
          <w:p w:rsidR="002764F4" w:rsidRPr="00B10CED" w:rsidRDefault="00F75B78" w:rsidP="007B22FE">
            <w:pPr>
              <w:spacing w:before="120" w:line="420" w:lineRule="exact"/>
              <w:rPr>
                <w:b/>
                <w:sz w:val="40"/>
                <w:szCs w:val="40"/>
              </w:rPr>
            </w:pPr>
            <w:r>
              <w:rPr>
                <w:b/>
                <w:sz w:val="34"/>
                <w:szCs w:val="34"/>
              </w:rPr>
              <w:t xml:space="preserve">Versión </w:t>
            </w:r>
            <w:r w:rsidR="007B22FE">
              <w:rPr>
                <w:b/>
                <w:sz w:val="34"/>
                <w:szCs w:val="34"/>
              </w:rPr>
              <w:t>avanzada sin editar</w:t>
            </w:r>
          </w:p>
        </w:tc>
        <w:tc>
          <w:tcPr>
            <w:tcW w:w="2819" w:type="dxa"/>
            <w:tcBorders>
              <w:top w:val="single" w:sz="4" w:space="0" w:color="auto"/>
              <w:bottom w:val="single" w:sz="12" w:space="0" w:color="auto"/>
            </w:tcBorders>
            <w:shd w:val="clear" w:color="auto" w:fill="auto"/>
          </w:tcPr>
          <w:p w:rsidR="00A95A4E" w:rsidRDefault="00A95A4E" w:rsidP="006011C0">
            <w:pPr>
              <w:spacing w:before="240"/>
            </w:pPr>
            <w:proofErr w:type="spellStart"/>
            <w:r>
              <w:t>Distr</w:t>
            </w:r>
            <w:proofErr w:type="spellEnd"/>
            <w:r>
              <w:t xml:space="preserve">. </w:t>
            </w:r>
            <w:r w:rsidR="001A1BAC">
              <w:t>general</w:t>
            </w:r>
          </w:p>
          <w:p w:rsidR="00A95A4E" w:rsidRDefault="002E161E" w:rsidP="006011C0">
            <w:pPr>
              <w:spacing w:line="240" w:lineRule="exact"/>
            </w:pPr>
            <w:r>
              <w:t>6</w:t>
            </w:r>
            <w:r w:rsidR="00D4404E">
              <w:t xml:space="preserve"> de septiembre de 2019</w:t>
            </w:r>
          </w:p>
          <w:p w:rsidR="00A95A4E" w:rsidRDefault="00A95A4E" w:rsidP="006011C0">
            <w:pPr>
              <w:spacing w:line="240" w:lineRule="exact"/>
            </w:pPr>
          </w:p>
          <w:p w:rsidR="00EE5C47" w:rsidRDefault="00EE5C47" w:rsidP="00EE5C47">
            <w:pPr>
              <w:spacing w:line="240" w:lineRule="exact"/>
            </w:pPr>
            <w:r>
              <w:t>Original: español</w:t>
            </w:r>
          </w:p>
          <w:p w:rsidR="002D5AAC" w:rsidRDefault="002D5AAC" w:rsidP="005E535B">
            <w:pPr>
              <w:spacing w:line="240" w:lineRule="exact"/>
            </w:pPr>
          </w:p>
        </w:tc>
      </w:tr>
    </w:tbl>
    <w:p w:rsidR="003212CC" w:rsidRPr="000D7C6A" w:rsidRDefault="003212CC" w:rsidP="00567F30">
      <w:pPr>
        <w:suppressAutoHyphens/>
        <w:spacing w:before="120"/>
        <w:rPr>
          <w:b/>
          <w:bCs/>
          <w:sz w:val="24"/>
          <w:lang w:eastAsia="en-US"/>
        </w:rPr>
      </w:pPr>
      <w:r w:rsidRPr="000D7C6A">
        <w:rPr>
          <w:b/>
          <w:bCs/>
          <w:sz w:val="24"/>
          <w:lang w:val="es-CL" w:eastAsia="en-US"/>
        </w:rPr>
        <w:t xml:space="preserve">Comité sobre los Derechos de las Personas </w:t>
      </w:r>
      <w:r w:rsidRPr="000D7C6A">
        <w:rPr>
          <w:b/>
          <w:bCs/>
          <w:sz w:val="24"/>
          <w:lang w:eastAsia="en-US"/>
        </w:rPr>
        <w:t>con Discapacidad</w:t>
      </w:r>
    </w:p>
    <w:p w:rsidR="003212CC" w:rsidRDefault="003212CC" w:rsidP="0055380B">
      <w:pPr>
        <w:pStyle w:val="HChG"/>
        <w:rPr>
          <w:rFonts w:eastAsia="MS Mincho"/>
          <w:lang w:val="es-CL"/>
        </w:rPr>
      </w:pPr>
      <w:r>
        <w:rPr>
          <w:lang w:val="es-CL"/>
        </w:rPr>
        <w:tab/>
      </w:r>
      <w:r>
        <w:rPr>
          <w:lang w:val="es-CL"/>
        </w:rPr>
        <w:tab/>
      </w:r>
      <w:r w:rsidR="00D4404E" w:rsidRPr="0094024B">
        <w:t xml:space="preserve">Dictamen aprobado por el Comité en virtud del artículo 5 </w:t>
      </w:r>
      <w:r w:rsidR="00D4404E">
        <w:br/>
      </w:r>
      <w:r w:rsidR="00D4404E" w:rsidRPr="0094024B">
        <w:t xml:space="preserve">del Protocolo Facultativo, respecto de la </w:t>
      </w:r>
      <w:r w:rsidR="00D4404E">
        <w:rPr>
          <w:lang w:val="es-ES_tradnl"/>
        </w:rPr>
        <w:t>c</w:t>
      </w:r>
      <w:r w:rsidR="00D4404E" w:rsidRPr="009D1011">
        <w:rPr>
          <w:lang w:val="es-ES_tradnl"/>
        </w:rPr>
        <w:t>omunicación núm.</w:t>
      </w:r>
      <w:r w:rsidR="00D4404E">
        <w:rPr>
          <w:lang w:val="es-ES_tradnl"/>
        </w:rPr>
        <w:t xml:space="preserve"> </w:t>
      </w:r>
      <w:r w:rsidRPr="000D7C6A">
        <w:rPr>
          <w:lang w:val="es-CL"/>
        </w:rPr>
        <w:t>3</w:t>
      </w:r>
      <w:r>
        <w:rPr>
          <w:lang w:val="es-CL"/>
        </w:rPr>
        <w:t>2</w:t>
      </w:r>
      <w:r w:rsidRPr="000D7C6A">
        <w:rPr>
          <w:lang w:val="es-CL"/>
        </w:rPr>
        <w:t>/2015</w:t>
      </w:r>
      <w:r w:rsidR="00144F25" w:rsidRPr="00144F25">
        <w:rPr>
          <w:rStyle w:val="Refdenotaalpie"/>
          <w:sz w:val="20"/>
          <w:vertAlign w:val="baseline"/>
          <w:lang w:val="es-CL"/>
        </w:rPr>
        <w:footnoteReference w:customMarkFollows="1" w:id="1"/>
        <w:t>*</w:t>
      </w:r>
      <w:r w:rsidR="00144F25">
        <w:rPr>
          <w:sz w:val="20"/>
          <w:lang w:val="es-CL"/>
        </w:rPr>
        <w:t>,</w:t>
      </w:r>
      <w:r w:rsidRPr="00BB2761">
        <w:rPr>
          <w:bCs/>
          <w:sz w:val="20"/>
          <w:lang w:val="es-CL"/>
        </w:rPr>
        <w:footnoteReference w:customMarkFollows="1" w:id="2"/>
        <w:t>**</w:t>
      </w:r>
    </w:p>
    <w:tbl>
      <w:tblPr>
        <w:tblStyle w:val="Tablaconcuadrcula"/>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625"/>
        <w:gridCol w:w="4180"/>
      </w:tblGrid>
      <w:tr w:rsidR="003212CC" w:rsidRPr="0029628D" w:rsidTr="00EE732C">
        <w:tc>
          <w:tcPr>
            <w:tcW w:w="2625" w:type="dxa"/>
          </w:tcPr>
          <w:p w:rsidR="003212CC" w:rsidRPr="0029628D" w:rsidRDefault="003212CC" w:rsidP="00EE732C">
            <w:pPr>
              <w:pStyle w:val="SingleTxtG"/>
              <w:ind w:left="0" w:right="0"/>
              <w:jc w:val="left"/>
              <w:rPr>
                <w:i/>
              </w:rPr>
            </w:pPr>
            <w:r w:rsidRPr="0029628D">
              <w:rPr>
                <w:i/>
              </w:rPr>
              <w:t>Comunicación presentada por:</w:t>
            </w:r>
          </w:p>
        </w:tc>
        <w:tc>
          <w:tcPr>
            <w:tcW w:w="4180" w:type="dxa"/>
          </w:tcPr>
          <w:p w:rsidR="003212CC" w:rsidRPr="0029628D" w:rsidRDefault="003212CC" w:rsidP="00CF6BFE">
            <w:pPr>
              <w:suppressAutoHyphens/>
              <w:spacing w:after="120"/>
            </w:pPr>
            <w:r>
              <w:t>Arturo Medina Vela (representado por</w:t>
            </w:r>
            <w:r w:rsidR="00CF6BFE">
              <w:t xml:space="preserve"> </w:t>
            </w:r>
            <w:r w:rsidRPr="0029628D">
              <w:t>l</w:t>
            </w:r>
            <w:r>
              <w:t>os</w:t>
            </w:r>
            <w:r w:rsidR="00CF6BFE">
              <w:t xml:space="preserve"> </w:t>
            </w:r>
            <w:r w:rsidRPr="0029628D">
              <w:t>abogado</w:t>
            </w:r>
            <w:r>
              <w:t xml:space="preserve">s Eunice Leyva García y María </w:t>
            </w:r>
            <w:proofErr w:type="spellStart"/>
            <w:r>
              <w:t>Sirvent</w:t>
            </w:r>
            <w:proofErr w:type="spellEnd"/>
            <w:r>
              <w:t xml:space="preserve"> Bravo-</w:t>
            </w:r>
            <w:proofErr w:type="spellStart"/>
            <w:r>
              <w:t>Ahuja</w:t>
            </w:r>
            <w:proofErr w:type="spellEnd"/>
            <w:r w:rsidRPr="0029628D">
              <w:t>)</w:t>
            </w:r>
          </w:p>
        </w:tc>
      </w:tr>
      <w:tr w:rsidR="003212CC" w:rsidRPr="0029628D" w:rsidTr="00EE732C">
        <w:tc>
          <w:tcPr>
            <w:tcW w:w="2625" w:type="dxa"/>
          </w:tcPr>
          <w:p w:rsidR="003212CC" w:rsidRPr="0029628D" w:rsidRDefault="003212CC" w:rsidP="00EE732C">
            <w:pPr>
              <w:pStyle w:val="SingleTxtG"/>
              <w:ind w:left="0" w:right="0"/>
              <w:jc w:val="left"/>
              <w:rPr>
                <w:i/>
              </w:rPr>
            </w:pPr>
            <w:r w:rsidRPr="0029628D">
              <w:rPr>
                <w:i/>
              </w:rPr>
              <w:t>Presunta víctima:</w:t>
            </w:r>
          </w:p>
        </w:tc>
        <w:tc>
          <w:tcPr>
            <w:tcW w:w="4180" w:type="dxa"/>
          </w:tcPr>
          <w:p w:rsidR="003212CC" w:rsidRPr="0029628D" w:rsidRDefault="003212CC" w:rsidP="00EE732C">
            <w:pPr>
              <w:pStyle w:val="SingleTxtG"/>
              <w:ind w:left="0" w:right="0"/>
              <w:jc w:val="left"/>
            </w:pPr>
            <w:r w:rsidRPr="0029628D">
              <w:t>El autor</w:t>
            </w:r>
          </w:p>
        </w:tc>
      </w:tr>
      <w:tr w:rsidR="003212CC" w:rsidRPr="0029628D" w:rsidTr="00EE732C">
        <w:tc>
          <w:tcPr>
            <w:tcW w:w="2625" w:type="dxa"/>
          </w:tcPr>
          <w:p w:rsidR="003212CC" w:rsidRPr="0029628D" w:rsidRDefault="003212CC" w:rsidP="00EE732C">
            <w:pPr>
              <w:pStyle w:val="SingleTxtG"/>
              <w:ind w:left="0" w:right="0"/>
              <w:jc w:val="left"/>
              <w:rPr>
                <w:i/>
              </w:rPr>
            </w:pPr>
            <w:r w:rsidRPr="0029628D">
              <w:rPr>
                <w:i/>
              </w:rPr>
              <w:t>Estado parte:</w:t>
            </w:r>
          </w:p>
        </w:tc>
        <w:tc>
          <w:tcPr>
            <w:tcW w:w="4180" w:type="dxa"/>
          </w:tcPr>
          <w:p w:rsidR="003212CC" w:rsidRPr="0029628D" w:rsidRDefault="003212CC" w:rsidP="00EE732C">
            <w:pPr>
              <w:pStyle w:val="SingleTxtG"/>
              <w:ind w:left="0" w:right="0"/>
              <w:jc w:val="left"/>
            </w:pPr>
            <w:r>
              <w:t>México</w:t>
            </w:r>
          </w:p>
        </w:tc>
      </w:tr>
      <w:tr w:rsidR="003212CC" w:rsidRPr="0029628D" w:rsidTr="00EE732C">
        <w:tc>
          <w:tcPr>
            <w:tcW w:w="2625" w:type="dxa"/>
          </w:tcPr>
          <w:p w:rsidR="003212CC" w:rsidRPr="0029628D" w:rsidRDefault="003212CC" w:rsidP="00EE732C">
            <w:pPr>
              <w:pStyle w:val="SingleTxtG"/>
              <w:ind w:left="0" w:right="0"/>
              <w:jc w:val="left"/>
              <w:rPr>
                <w:i/>
              </w:rPr>
            </w:pPr>
            <w:r w:rsidRPr="0029628D">
              <w:rPr>
                <w:i/>
              </w:rPr>
              <w:t>Fecha de la comunicación:</w:t>
            </w:r>
          </w:p>
        </w:tc>
        <w:tc>
          <w:tcPr>
            <w:tcW w:w="4180" w:type="dxa"/>
          </w:tcPr>
          <w:p w:rsidR="003212CC" w:rsidRPr="0029628D" w:rsidRDefault="003212CC" w:rsidP="00EE732C">
            <w:pPr>
              <w:pStyle w:val="SingleTxtG"/>
              <w:ind w:left="0" w:right="0"/>
              <w:jc w:val="left"/>
            </w:pPr>
            <w:r>
              <w:t>19</w:t>
            </w:r>
            <w:r w:rsidRPr="0029628D">
              <w:t xml:space="preserve"> de a</w:t>
            </w:r>
            <w:r>
              <w:t>gosto de 2015</w:t>
            </w:r>
            <w:r w:rsidRPr="0029628D">
              <w:t xml:space="preserve"> (presentación inicial)</w:t>
            </w:r>
          </w:p>
        </w:tc>
      </w:tr>
      <w:tr w:rsidR="003212CC" w:rsidRPr="0029628D" w:rsidTr="00EE732C">
        <w:tc>
          <w:tcPr>
            <w:tcW w:w="2625" w:type="dxa"/>
          </w:tcPr>
          <w:p w:rsidR="003212CC" w:rsidRPr="0029628D" w:rsidRDefault="003212CC" w:rsidP="00EE732C">
            <w:pPr>
              <w:pStyle w:val="SingleTxtG"/>
              <w:ind w:left="0" w:right="0"/>
              <w:jc w:val="left"/>
              <w:rPr>
                <w:i/>
              </w:rPr>
            </w:pPr>
            <w:r w:rsidRPr="0029628D">
              <w:rPr>
                <w:i/>
              </w:rPr>
              <w:t>Referencias:</w:t>
            </w:r>
          </w:p>
        </w:tc>
        <w:tc>
          <w:tcPr>
            <w:tcW w:w="4180" w:type="dxa"/>
            <w:vAlign w:val="bottom"/>
          </w:tcPr>
          <w:p w:rsidR="003212CC" w:rsidRPr="0029628D" w:rsidRDefault="003212CC" w:rsidP="001C396A">
            <w:pPr>
              <w:pStyle w:val="SingleTxtG"/>
              <w:ind w:left="0" w:right="0"/>
              <w:jc w:val="left"/>
            </w:pPr>
            <w:r w:rsidRPr="0029628D">
              <w:t xml:space="preserve">Decisión adoptada con arreglo al artículo 70 del reglamento del Comité, transmitida al Estado parte el </w:t>
            </w:r>
            <w:r w:rsidR="001C396A">
              <w:t>16 de septiembre de 2015.</w:t>
            </w:r>
          </w:p>
        </w:tc>
      </w:tr>
      <w:tr w:rsidR="003212CC" w:rsidRPr="0029628D" w:rsidTr="00EE732C">
        <w:tc>
          <w:tcPr>
            <w:tcW w:w="2625" w:type="dxa"/>
          </w:tcPr>
          <w:p w:rsidR="003212CC" w:rsidRPr="0029628D" w:rsidRDefault="003212CC" w:rsidP="00EE732C">
            <w:pPr>
              <w:pStyle w:val="SingleTxtG"/>
              <w:ind w:left="0" w:right="0"/>
              <w:jc w:val="left"/>
              <w:rPr>
                <w:i/>
              </w:rPr>
            </w:pPr>
            <w:r w:rsidRPr="0029628D">
              <w:rPr>
                <w:i/>
              </w:rPr>
              <w:t>Fecha de aprobación del dictamen:</w:t>
            </w:r>
          </w:p>
        </w:tc>
        <w:tc>
          <w:tcPr>
            <w:tcW w:w="4180" w:type="dxa"/>
            <w:vAlign w:val="bottom"/>
          </w:tcPr>
          <w:p w:rsidR="003212CC" w:rsidRPr="0029628D" w:rsidRDefault="00D4404E" w:rsidP="00EE732C">
            <w:pPr>
              <w:pStyle w:val="SingleTxtG"/>
              <w:ind w:left="0" w:right="0"/>
              <w:jc w:val="left"/>
            </w:pPr>
            <w:r>
              <w:t>6 de septiembre de 2019</w:t>
            </w:r>
          </w:p>
        </w:tc>
      </w:tr>
      <w:tr w:rsidR="003212CC" w:rsidRPr="0029628D" w:rsidTr="00EE732C">
        <w:tc>
          <w:tcPr>
            <w:tcW w:w="2625" w:type="dxa"/>
          </w:tcPr>
          <w:p w:rsidR="003212CC" w:rsidRPr="0029628D" w:rsidRDefault="003212CC" w:rsidP="00EE732C">
            <w:pPr>
              <w:pStyle w:val="SingleTxtG"/>
              <w:ind w:left="0" w:right="0"/>
              <w:jc w:val="left"/>
              <w:rPr>
                <w:i/>
              </w:rPr>
            </w:pPr>
            <w:r w:rsidRPr="0029628D">
              <w:rPr>
                <w:i/>
              </w:rPr>
              <w:t>Asunto:</w:t>
            </w:r>
          </w:p>
        </w:tc>
        <w:tc>
          <w:tcPr>
            <w:tcW w:w="4180" w:type="dxa"/>
            <w:vAlign w:val="bottom"/>
          </w:tcPr>
          <w:p w:rsidR="003212CC" w:rsidRPr="0029628D" w:rsidRDefault="003212CC" w:rsidP="00EE732C">
            <w:pPr>
              <w:pStyle w:val="SingleTxtG"/>
              <w:ind w:left="0" w:right="0"/>
              <w:jc w:val="left"/>
            </w:pPr>
            <w:r w:rsidRPr="0029628D">
              <w:t xml:space="preserve">Derecho a gozar de capacidad jurídica en igualdad de condiciones con los demás </w:t>
            </w:r>
          </w:p>
        </w:tc>
      </w:tr>
      <w:tr w:rsidR="003212CC" w:rsidRPr="0029628D" w:rsidTr="00EE732C">
        <w:tc>
          <w:tcPr>
            <w:tcW w:w="2625" w:type="dxa"/>
          </w:tcPr>
          <w:p w:rsidR="003212CC" w:rsidRPr="0029628D" w:rsidRDefault="003212CC" w:rsidP="00EE732C">
            <w:pPr>
              <w:pStyle w:val="SingleTxtG"/>
              <w:ind w:left="0" w:right="0"/>
              <w:jc w:val="left"/>
              <w:rPr>
                <w:i/>
              </w:rPr>
            </w:pPr>
            <w:r w:rsidRPr="0029628D">
              <w:rPr>
                <w:i/>
              </w:rPr>
              <w:t>Cuestiones de procedimiento:</w:t>
            </w:r>
          </w:p>
        </w:tc>
        <w:tc>
          <w:tcPr>
            <w:tcW w:w="4180" w:type="dxa"/>
            <w:vAlign w:val="bottom"/>
          </w:tcPr>
          <w:p w:rsidR="003212CC" w:rsidRPr="0029628D" w:rsidRDefault="003212CC" w:rsidP="00EE732C">
            <w:pPr>
              <w:pStyle w:val="SingleTxtG"/>
              <w:ind w:left="0" w:right="0"/>
              <w:jc w:val="left"/>
            </w:pPr>
            <w:r w:rsidRPr="0029628D">
              <w:t xml:space="preserve">Admisibilidad </w:t>
            </w:r>
            <w:r>
              <w:t xml:space="preserve">- </w:t>
            </w:r>
            <w:r w:rsidRPr="0029628D">
              <w:t xml:space="preserve">agotamiento de los recursos internos </w:t>
            </w:r>
          </w:p>
        </w:tc>
      </w:tr>
      <w:tr w:rsidR="003212CC" w:rsidRPr="0029628D" w:rsidTr="00EE732C">
        <w:tc>
          <w:tcPr>
            <w:tcW w:w="2625" w:type="dxa"/>
          </w:tcPr>
          <w:p w:rsidR="003212CC" w:rsidRPr="0029628D" w:rsidRDefault="003212CC" w:rsidP="00EE732C">
            <w:pPr>
              <w:pStyle w:val="SingleTxtG"/>
              <w:ind w:left="0" w:right="0"/>
              <w:jc w:val="left"/>
              <w:rPr>
                <w:i/>
              </w:rPr>
            </w:pPr>
            <w:r w:rsidRPr="0029628D">
              <w:rPr>
                <w:i/>
              </w:rPr>
              <w:t>Cuestiones de fondo:</w:t>
            </w:r>
          </w:p>
        </w:tc>
        <w:tc>
          <w:tcPr>
            <w:tcW w:w="4180" w:type="dxa"/>
            <w:vAlign w:val="bottom"/>
          </w:tcPr>
          <w:p w:rsidR="003212CC" w:rsidRPr="0029628D" w:rsidRDefault="003212CC" w:rsidP="00630DB0">
            <w:pPr>
              <w:pStyle w:val="SingleTxtG"/>
              <w:ind w:left="0" w:right="0"/>
              <w:jc w:val="left"/>
            </w:pPr>
            <w:r w:rsidRPr="0029628D">
              <w:t>Acceso a los tribunales, discapacidad intelectual</w:t>
            </w:r>
            <w:r w:rsidR="00630DB0">
              <w:t xml:space="preserve"> y psicosocial</w:t>
            </w:r>
            <w:r w:rsidRPr="0029628D">
              <w:t>, ejercicio de la capacidad jurídica, privación de libertad, discriminación por motivos de discapacidad, restricciones de derechos</w:t>
            </w:r>
          </w:p>
        </w:tc>
      </w:tr>
      <w:tr w:rsidR="003212CC" w:rsidRPr="0029628D" w:rsidTr="00EE732C">
        <w:tc>
          <w:tcPr>
            <w:tcW w:w="2625" w:type="dxa"/>
          </w:tcPr>
          <w:p w:rsidR="003212CC" w:rsidRPr="0029628D" w:rsidRDefault="003212CC" w:rsidP="00EE732C">
            <w:pPr>
              <w:pStyle w:val="SingleTxtG"/>
              <w:keepNext/>
              <w:keepLines/>
              <w:ind w:left="0" w:right="0"/>
              <w:jc w:val="left"/>
              <w:rPr>
                <w:i/>
              </w:rPr>
            </w:pPr>
            <w:r w:rsidRPr="0029628D">
              <w:rPr>
                <w:i/>
              </w:rPr>
              <w:t>Artículos de la Convención:</w:t>
            </w:r>
          </w:p>
        </w:tc>
        <w:tc>
          <w:tcPr>
            <w:tcW w:w="4180" w:type="dxa"/>
            <w:vAlign w:val="bottom"/>
          </w:tcPr>
          <w:p w:rsidR="003212CC" w:rsidRPr="0029628D" w:rsidRDefault="003212CC" w:rsidP="00EE732C">
            <w:pPr>
              <w:pStyle w:val="SingleTxtG"/>
              <w:keepNext/>
              <w:keepLines/>
              <w:ind w:left="0" w:right="0"/>
              <w:jc w:val="left"/>
            </w:pPr>
            <w:r w:rsidRPr="0029628D">
              <w:t>5;</w:t>
            </w:r>
            <w:r>
              <w:t xml:space="preserve"> 9;</w:t>
            </w:r>
            <w:r w:rsidRPr="0029628D">
              <w:t xml:space="preserve"> 12; 13; 14</w:t>
            </w:r>
            <w:r>
              <w:t xml:space="preserve"> y 19</w:t>
            </w:r>
            <w:r w:rsidR="0024508D">
              <w:t xml:space="preserve"> </w:t>
            </w:r>
            <w:r>
              <w:t xml:space="preserve">leídos conjuntamente con el artículo 4 </w:t>
            </w:r>
          </w:p>
        </w:tc>
      </w:tr>
      <w:tr w:rsidR="003212CC" w:rsidRPr="0029628D" w:rsidTr="00EE732C">
        <w:tc>
          <w:tcPr>
            <w:tcW w:w="2625" w:type="dxa"/>
          </w:tcPr>
          <w:p w:rsidR="003212CC" w:rsidRPr="00C729D2" w:rsidRDefault="003212CC" w:rsidP="00EE732C">
            <w:pPr>
              <w:pStyle w:val="SingleTxtG"/>
              <w:ind w:left="0" w:right="0"/>
              <w:jc w:val="left"/>
              <w:rPr>
                <w:i/>
              </w:rPr>
            </w:pPr>
            <w:r w:rsidRPr="00C729D2">
              <w:rPr>
                <w:i/>
              </w:rPr>
              <w:t xml:space="preserve">Artículos del Protocolo </w:t>
            </w:r>
            <w:r w:rsidRPr="00C729D2">
              <w:rPr>
                <w:i/>
              </w:rPr>
              <w:br/>
              <w:t>Facultativo:</w:t>
            </w:r>
          </w:p>
        </w:tc>
        <w:tc>
          <w:tcPr>
            <w:tcW w:w="4180" w:type="dxa"/>
            <w:vAlign w:val="bottom"/>
          </w:tcPr>
          <w:p w:rsidR="003212CC" w:rsidRDefault="003212CC" w:rsidP="00EE732C">
            <w:pPr>
              <w:pStyle w:val="SingleTxtG"/>
              <w:ind w:left="0" w:right="0"/>
              <w:jc w:val="left"/>
            </w:pPr>
            <w:r w:rsidRPr="00C729D2">
              <w:t>1 y 2</w:t>
            </w:r>
          </w:p>
          <w:p w:rsidR="003212CC" w:rsidRPr="00C729D2" w:rsidRDefault="003212CC" w:rsidP="00EE732C">
            <w:pPr>
              <w:pStyle w:val="SingleTxtG"/>
              <w:ind w:left="0" w:right="0"/>
              <w:jc w:val="left"/>
            </w:pPr>
          </w:p>
        </w:tc>
      </w:tr>
    </w:tbl>
    <w:p w:rsidR="003212CC" w:rsidRDefault="003212CC" w:rsidP="003212CC">
      <w:pPr>
        <w:pStyle w:val="SingleTxtG"/>
      </w:pPr>
    </w:p>
    <w:p w:rsidR="003212CC" w:rsidRDefault="003212CC" w:rsidP="003212CC">
      <w:pPr>
        <w:spacing w:line="240" w:lineRule="auto"/>
      </w:pPr>
      <w:r>
        <w:br w:type="page"/>
      </w:r>
    </w:p>
    <w:p w:rsidR="003212CC" w:rsidRPr="0029628D" w:rsidRDefault="003212CC" w:rsidP="003212CC">
      <w:pPr>
        <w:pStyle w:val="SingleTxtG"/>
      </w:pPr>
      <w:r w:rsidRPr="0029628D">
        <w:lastRenderedPageBreak/>
        <w:t>1.</w:t>
      </w:r>
      <w:r w:rsidRPr="0029628D">
        <w:tab/>
        <w:t xml:space="preserve">El autor de la comunicación es </w:t>
      </w:r>
      <w:r>
        <w:t>Arturo Medina Vela</w:t>
      </w:r>
      <w:r w:rsidRPr="0029628D">
        <w:t xml:space="preserve">, </w:t>
      </w:r>
      <w:r>
        <w:t xml:space="preserve">de nacionalidad mexicana, </w:t>
      </w:r>
      <w:r w:rsidRPr="0029628D">
        <w:t xml:space="preserve">nacido el </w:t>
      </w:r>
      <w:r>
        <w:t>1</w:t>
      </w:r>
      <w:r w:rsidRPr="0029628D">
        <w:t xml:space="preserve"> de </w:t>
      </w:r>
      <w:r>
        <w:t>agosto</w:t>
      </w:r>
      <w:r w:rsidRPr="0029628D">
        <w:t xml:space="preserve"> de 19</w:t>
      </w:r>
      <w:r>
        <w:t>90. T</w:t>
      </w:r>
      <w:r w:rsidRPr="0029628D">
        <w:t>iene una discapacidad intelectual</w:t>
      </w:r>
      <w:r>
        <w:t xml:space="preserve"> y psicosocial que no requiere tratamiento médico constante. El autor siempre ha vivido con su madre y su hermana, quienes han sido su principal apoyo en la toma de decisiones. Al momento de la presentación de esta comunicación, Arturo Medina Vela se encontraba privado de libertad en el Centro Varonil de Rehabilitación Psicosocial (CEVREPSI) en la Ciudad de México, </w:t>
      </w:r>
      <w:r w:rsidRPr="0029628D">
        <w:t xml:space="preserve">y afirma ser víctima de la violación por </w:t>
      </w:r>
      <w:r>
        <w:t xml:space="preserve">el Estado parte </w:t>
      </w:r>
      <w:r w:rsidRPr="0029628D">
        <w:t>de los derechos que le asisten en virtud de los artículos</w:t>
      </w:r>
      <w:r>
        <w:t> 5</w:t>
      </w:r>
      <w:r w:rsidRPr="0029628D">
        <w:t>; 12; 13; 14</w:t>
      </w:r>
      <w:r>
        <w:t xml:space="preserve"> y 19, leídos conjuntamente con el artículo 4 de la </w:t>
      </w:r>
      <w:r w:rsidRPr="0029628D">
        <w:t xml:space="preserve">de la Convención. El autor está representado por </w:t>
      </w:r>
      <w:r>
        <w:t>las</w:t>
      </w:r>
      <w:r w:rsidRPr="0029628D">
        <w:t xml:space="preserve"> abogad</w:t>
      </w:r>
      <w:r>
        <w:t>as</w:t>
      </w:r>
      <w:r w:rsidRPr="0029628D">
        <w:t xml:space="preserve"> </w:t>
      </w:r>
      <w:r>
        <w:t xml:space="preserve">Eunice Leyva García y María </w:t>
      </w:r>
      <w:proofErr w:type="spellStart"/>
      <w:r>
        <w:t>Sirvent</w:t>
      </w:r>
      <w:proofErr w:type="spellEnd"/>
      <w:r>
        <w:t xml:space="preserve"> Bravo-</w:t>
      </w:r>
      <w:proofErr w:type="spellStart"/>
      <w:r>
        <w:t>Ahuja</w:t>
      </w:r>
      <w:proofErr w:type="spellEnd"/>
      <w:r>
        <w:t>.</w:t>
      </w:r>
      <w:r w:rsidRPr="00C729D2">
        <w:t xml:space="preserve"> </w:t>
      </w:r>
      <w:r w:rsidRPr="0029628D">
        <w:t>El Protocolo</w:t>
      </w:r>
      <w:r>
        <w:t xml:space="preserve"> Facultativo entró en vigor para el Estado parte el 3 de mayo de 2008</w:t>
      </w:r>
      <w:r w:rsidRPr="0029628D">
        <w:t>.</w:t>
      </w:r>
    </w:p>
    <w:p w:rsidR="003212CC" w:rsidRPr="0029628D" w:rsidRDefault="003212CC" w:rsidP="003212CC">
      <w:pPr>
        <w:pStyle w:val="H1G"/>
      </w:pPr>
      <w:r w:rsidRPr="0029628D">
        <w:tab/>
        <w:t>A.</w:t>
      </w:r>
      <w:r w:rsidRPr="0029628D">
        <w:tab/>
        <w:t>Resumen de la información y alegaciones de las partes</w:t>
      </w:r>
    </w:p>
    <w:p w:rsidR="003212CC" w:rsidRPr="0029628D" w:rsidRDefault="003212CC" w:rsidP="003212CC">
      <w:pPr>
        <w:pStyle w:val="H23G"/>
      </w:pPr>
      <w:r>
        <w:tab/>
      </w:r>
      <w:r>
        <w:tab/>
      </w:r>
      <w:r w:rsidRPr="0029628D">
        <w:t>Los hechos expuestos por el autor</w:t>
      </w:r>
    </w:p>
    <w:p w:rsidR="003212CC" w:rsidRDefault="003212CC" w:rsidP="003212CC">
      <w:pPr>
        <w:pStyle w:val="SingleTxtG"/>
      </w:pPr>
      <w:r w:rsidRPr="0029628D">
        <w:t>2.1</w:t>
      </w:r>
      <w:r w:rsidRPr="0029628D">
        <w:tab/>
      </w:r>
      <w:r>
        <w:t>El 14 de septiembre de 2011 entre las 12 y 13 horas, el autor fue detenido por la policía, acusado de haber robado un vehículo, de acuerdo a imágenes capturadas por cámaras de seguridad instaladas en el lugar donde se encontraba el vehículo. E</w:t>
      </w:r>
      <w:r w:rsidRPr="000640B9">
        <w:t xml:space="preserve">l autor sostiene que </w:t>
      </w:r>
      <w:r>
        <w:t>su defensor de oficio requirió la presentación de estas</w:t>
      </w:r>
      <w:r w:rsidRPr="000640B9">
        <w:t xml:space="preserve"> imágenes dentro del proceso penal que se llevó a cabo en su contra</w:t>
      </w:r>
      <w:r>
        <w:t>, pero que nunca ocurrió</w:t>
      </w:r>
      <w:r w:rsidRPr="000640B9">
        <w:t>.</w:t>
      </w:r>
      <w:r>
        <w:t xml:space="preserve"> Ese mismo día, el autor fue remitido a la Agencia del Ministerio Público, la Fiscalía Desconcentrada Venustiano Carranza de la Procuraduría General de Justicia del Distrito Federal. Aproximadamente a las 22 horas, el agente del Ministerio Público informó a su familia sobre la acusación en su contra. </w:t>
      </w:r>
    </w:p>
    <w:p w:rsidR="003212CC" w:rsidRDefault="003212CC" w:rsidP="003212CC">
      <w:pPr>
        <w:pStyle w:val="SingleTxtG"/>
      </w:pPr>
      <w:r>
        <w:t>2.2</w:t>
      </w:r>
      <w:r>
        <w:tab/>
      </w:r>
      <w:r>
        <w:rPr>
          <w:lang w:val="es-ES_tradnl"/>
        </w:rPr>
        <w:t>La madre del autor acudió a la Fiscalía y declaró que, debido a su discapacidad, el autor no sabía manejar vehículo y que nunca lo había hecho. Asimismo, presentó la documentación que acreditaba la discapacidad del autor. El autor alega que la versión de los hechos fue modificada, indicando que había robado el auto empujándolo y no manejando, y que existen contradicciones en las declaraciones de los agentes de policía que llevaron a cabo su detención</w:t>
      </w:r>
      <w:r>
        <w:rPr>
          <w:rStyle w:val="Refdenotaalpie"/>
          <w:lang w:val="es-ES_tradnl"/>
        </w:rPr>
        <w:footnoteReference w:id="3"/>
      </w:r>
      <w:r w:rsidR="0061021D">
        <w:rPr>
          <w:lang w:val="es-ES_tradnl"/>
        </w:rPr>
        <w:t>.</w:t>
      </w:r>
    </w:p>
    <w:p w:rsidR="003212CC" w:rsidRDefault="003212CC" w:rsidP="003212CC">
      <w:pPr>
        <w:pStyle w:val="SingleTxtG"/>
      </w:pPr>
      <w:r>
        <w:t>2.3</w:t>
      </w:r>
      <w:r>
        <w:tab/>
        <w:t xml:space="preserve">Los 15 y 16 de septiembre de 2011, con base a la solicitud realizada por el agente del Ministerio Público, se realizó una valoración psiquiátrica del autor, en la que se determinó que presenta un trastorno de la personalidad y probable retraso mental. Asimismo, se llevó a cabo una valoración por parte de un perito médico forense, quien dictaminó que el autor presenta un trastorno social de la personalidad y posible retraso mental superficial por lo que no es apto para declarar. El 16 de septiembre, el agente del Ministerio Público determinó ejercer la acción penal en contra del autor y ordenó su detención en el Centro Varonil de Rehabilitación Psicosocial (CEVAREPSI). </w:t>
      </w:r>
    </w:p>
    <w:p w:rsidR="003212CC" w:rsidRDefault="003212CC" w:rsidP="003212CC">
      <w:pPr>
        <w:pStyle w:val="SingleTxtG"/>
        <w:rPr>
          <w:lang w:val="es-ES_tradnl"/>
        </w:rPr>
      </w:pPr>
      <w:r>
        <w:t>2.4</w:t>
      </w:r>
      <w:r>
        <w:tab/>
        <w:t xml:space="preserve">El 22 de septiembre de 2011, el Juez Noveno Penal en el Distrito Federal (Juez Noveno Penal) resolvió la sujeción a Procedimiento Especial para Inimputables en contra del autor. Asimismo, </w:t>
      </w:r>
      <w:r>
        <w:rPr>
          <w:lang w:val="es-ES_tradnl"/>
        </w:rPr>
        <w:t xml:space="preserve">ordenó </w:t>
      </w:r>
      <w:r w:rsidRPr="00C30966">
        <w:rPr>
          <w:lang w:val="es-ES_tradnl"/>
        </w:rPr>
        <w:t>que el Director del Servicio Médico Forense del Tribunal Superior de Justicia</w:t>
      </w:r>
      <w:r>
        <w:rPr>
          <w:lang w:val="es-ES_tradnl"/>
        </w:rPr>
        <w:t xml:space="preserve"> designara peritos en psiquiatría para examinar</w:t>
      </w:r>
      <w:r w:rsidRPr="00C30966">
        <w:rPr>
          <w:lang w:val="es-ES_tradnl"/>
        </w:rPr>
        <w:t xml:space="preserve"> </w:t>
      </w:r>
      <w:r>
        <w:rPr>
          <w:lang w:val="es-ES_tradnl"/>
        </w:rPr>
        <w:t xml:space="preserve">el grado de inimputabilidad del autor. El resultado del examen realizado fue presentado el </w:t>
      </w:r>
      <w:r w:rsidRPr="00033B00">
        <w:rPr>
          <w:lang w:val="es-ES_tradnl"/>
        </w:rPr>
        <w:t>11 de octubre de 2011</w:t>
      </w:r>
      <w:r>
        <w:rPr>
          <w:lang w:val="es-ES_tradnl"/>
        </w:rPr>
        <w:t xml:space="preserve">, concluyendo que el autor presenta una discapacidad mental permanente que le impide comprender el </w:t>
      </w:r>
      <w:r w:rsidRPr="00033B00">
        <w:rPr>
          <w:lang w:val="es-ES_tradnl"/>
        </w:rPr>
        <w:t>carácte</w:t>
      </w:r>
      <w:r>
        <w:rPr>
          <w:lang w:val="es-ES_tradnl"/>
        </w:rPr>
        <w:t xml:space="preserve">r antijurídico de sus acciones y declarar ante las </w:t>
      </w:r>
      <w:r w:rsidRPr="00033B00">
        <w:rPr>
          <w:lang w:val="es-ES_tradnl"/>
        </w:rPr>
        <w:t>autoridad</w:t>
      </w:r>
      <w:r>
        <w:rPr>
          <w:lang w:val="es-ES_tradnl"/>
        </w:rPr>
        <w:t>es</w:t>
      </w:r>
      <w:r w:rsidRPr="00033B00">
        <w:rPr>
          <w:lang w:val="es-ES_tradnl"/>
        </w:rPr>
        <w:t xml:space="preserve"> jurídica</w:t>
      </w:r>
      <w:r>
        <w:rPr>
          <w:lang w:val="es-ES_tradnl"/>
        </w:rPr>
        <w:t xml:space="preserve">s y que el autor “requería de </w:t>
      </w:r>
      <w:r w:rsidRPr="00033B00">
        <w:rPr>
          <w:lang w:val="es-ES_tradnl"/>
        </w:rPr>
        <w:t>tratamiento médico psi</w:t>
      </w:r>
      <w:r>
        <w:rPr>
          <w:lang w:val="es-ES_tradnl"/>
        </w:rPr>
        <w:t xml:space="preserve">quiátrico de forma permanente y </w:t>
      </w:r>
      <w:r w:rsidRPr="00033B00">
        <w:rPr>
          <w:lang w:val="es-ES_tradnl"/>
        </w:rPr>
        <w:t xml:space="preserve">estrecha, </w:t>
      </w:r>
      <w:r>
        <w:rPr>
          <w:lang w:val="es-ES_tradnl"/>
        </w:rPr>
        <w:t>y</w:t>
      </w:r>
      <w:r w:rsidRPr="00033B00">
        <w:rPr>
          <w:lang w:val="es-ES_tradnl"/>
        </w:rPr>
        <w:t xml:space="preserve"> una adecuada vi</w:t>
      </w:r>
      <w:r>
        <w:rPr>
          <w:lang w:val="es-ES_tradnl"/>
        </w:rPr>
        <w:t>gilancia”</w:t>
      </w:r>
      <w:r>
        <w:rPr>
          <w:rStyle w:val="Refdenotaalpie"/>
          <w:lang w:val="es-ES_tradnl"/>
        </w:rPr>
        <w:footnoteReference w:id="4"/>
      </w:r>
      <w:r w:rsidR="0061021D">
        <w:rPr>
          <w:lang w:val="es-ES_tradnl"/>
        </w:rPr>
        <w:t>.</w:t>
      </w:r>
    </w:p>
    <w:p w:rsidR="003212CC" w:rsidRDefault="00BB2761" w:rsidP="003212CC">
      <w:pPr>
        <w:pStyle w:val="SingleTxtG"/>
        <w:rPr>
          <w:lang w:val="es-ES_tradnl"/>
        </w:rPr>
      </w:pPr>
      <w:r>
        <w:rPr>
          <w:lang w:val="es-ES_tradnl"/>
        </w:rPr>
        <w:t>2.5</w:t>
      </w:r>
      <w:r w:rsidR="003212CC">
        <w:rPr>
          <w:lang w:val="es-ES_tradnl"/>
        </w:rPr>
        <w:tab/>
        <w:t xml:space="preserve">El autor alega que </w:t>
      </w:r>
      <w:r w:rsidR="003212CC" w:rsidRPr="00FC5984">
        <w:rPr>
          <w:lang w:val="es-ES_tradnl"/>
        </w:rPr>
        <w:t>no se le permitió declarar</w:t>
      </w:r>
      <w:r w:rsidR="003212CC">
        <w:rPr>
          <w:lang w:val="es-ES_tradnl"/>
        </w:rPr>
        <w:t>,</w:t>
      </w:r>
      <w:r w:rsidR="003212CC" w:rsidRPr="00FC5984">
        <w:rPr>
          <w:lang w:val="es-ES_tradnl"/>
        </w:rPr>
        <w:t xml:space="preserve"> no se le informó lo que estaba sucediendo</w:t>
      </w:r>
      <w:r w:rsidR="003212CC">
        <w:rPr>
          <w:lang w:val="es-ES_tradnl"/>
        </w:rPr>
        <w:t xml:space="preserve"> dentro del proceso, ni se le notificó que estaba siendo procesado bajo la figura del Procedimiento Especial para Inimputables. El día de su detención, su madre solicitó al Juez Noveno Penal que revocara la designación del abogado de oficio y designó a abogados particulares para su defensa. Sin embargo, el 23 de septiembre, el juez resolvió denegar la designación de la defensa particular, ya que de conformidad con el artículo 462 del Código </w:t>
      </w:r>
      <w:r w:rsidR="003212CC">
        <w:rPr>
          <w:lang w:val="es-ES_tradnl"/>
        </w:rPr>
        <w:lastRenderedPageBreak/>
        <w:t xml:space="preserve">Civil para el Distrito Federal, la madre no era la tutora legal del autor quien es mayor de edad y no había sido declarado incapaz jurídicamente. </w:t>
      </w:r>
    </w:p>
    <w:p w:rsidR="003212CC" w:rsidRDefault="003212CC" w:rsidP="003212CC">
      <w:pPr>
        <w:pStyle w:val="SingleTxtG"/>
        <w:rPr>
          <w:lang w:val="es-ES_tradnl"/>
        </w:rPr>
      </w:pPr>
      <w:r>
        <w:rPr>
          <w:lang w:val="es-ES_tradnl"/>
        </w:rPr>
        <w:t>2.6</w:t>
      </w:r>
      <w:r>
        <w:rPr>
          <w:lang w:val="es-ES_tradnl"/>
        </w:rPr>
        <w:tab/>
      </w:r>
      <w:r w:rsidRPr="00572F74">
        <w:rPr>
          <w:lang w:val="es-ES_tradnl"/>
        </w:rPr>
        <w:t>El 26 de septiembre</w:t>
      </w:r>
      <w:r>
        <w:rPr>
          <w:lang w:val="es-ES_tradnl"/>
        </w:rPr>
        <w:t xml:space="preserve"> de 2011</w:t>
      </w:r>
      <w:r w:rsidRPr="00572F74">
        <w:rPr>
          <w:lang w:val="es-ES_tradnl"/>
        </w:rPr>
        <w:t xml:space="preserve">, el autor presentó </w:t>
      </w:r>
      <w:r>
        <w:rPr>
          <w:lang w:val="es-ES_tradnl"/>
        </w:rPr>
        <w:t xml:space="preserve">dos </w:t>
      </w:r>
      <w:r w:rsidRPr="00572F74">
        <w:rPr>
          <w:lang w:val="es-ES_tradnl"/>
        </w:rPr>
        <w:t>escrito</w:t>
      </w:r>
      <w:r>
        <w:rPr>
          <w:lang w:val="es-ES_tradnl"/>
        </w:rPr>
        <w:t>s al Juzgado Noveno Penal, el primero</w:t>
      </w:r>
      <w:r w:rsidRPr="00572F74">
        <w:rPr>
          <w:lang w:val="es-ES_tradnl"/>
        </w:rPr>
        <w:t xml:space="preserve"> designando un nuevo defensor y solicitando se revocara el nomb</w:t>
      </w:r>
      <w:r>
        <w:rPr>
          <w:lang w:val="es-ES_tradnl"/>
        </w:rPr>
        <w:t>ramiento del defensor de oficio; el segundo interponiendo recurso de</w:t>
      </w:r>
      <w:r w:rsidRPr="00572F74">
        <w:rPr>
          <w:lang w:val="es-ES_tradnl"/>
        </w:rPr>
        <w:t xml:space="preserve"> apelación en contra de la resolución de fecha 22 de septiembre de 2011. Sin embargo, el 28 de septiembre de 2011, el </w:t>
      </w:r>
      <w:r>
        <w:rPr>
          <w:lang w:val="es-ES_tradnl"/>
        </w:rPr>
        <w:t>J</w:t>
      </w:r>
      <w:r w:rsidRPr="00572F74">
        <w:rPr>
          <w:lang w:val="es-ES_tradnl"/>
        </w:rPr>
        <w:t>uez</w:t>
      </w:r>
      <w:r>
        <w:rPr>
          <w:lang w:val="es-ES_tradnl"/>
        </w:rPr>
        <w:t xml:space="preserve"> Noveno Penal</w:t>
      </w:r>
      <w:r w:rsidRPr="00572F74">
        <w:rPr>
          <w:lang w:val="es-ES_tradnl"/>
        </w:rPr>
        <w:t xml:space="preserve"> </w:t>
      </w:r>
      <w:r>
        <w:rPr>
          <w:lang w:val="es-ES_tradnl"/>
        </w:rPr>
        <w:t xml:space="preserve">declaró sin lugar el </w:t>
      </w:r>
      <w:r w:rsidRPr="00572F74">
        <w:rPr>
          <w:lang w:val="es-ES_tradnl"/>
        </w:rPr>
        <w:t>recurso de apelación</w:t>
      </w:r>
      <w:r>
        <w:rPr>
          <w:lang w:val="es-ES_tradnl"/>
        </w:rPr>
        <w:t xml:space="preserve">, </w:t>
      </w:r>
      <w:r w:rsidRPr="00572F74">
        <w:rPr>
          <w:lang w:val="es-ES_tradnl"/>
        </w:rPr>
        <w:t>señal</w:t>
      </w:r>
      <w:r>
        <w:rPr>
          <w:lang w:val="es-ES_tradnl"/>
        </w:rPr>
        <w:t>ando</w:t>
      </w:r>
      <w:r w:rsidRPr="00572F74">
        <w:rPr>
          <w:lang w:val="es-ES_tradnl"/>
        </w:rPr>
        <w:t xml:space="preserve"> que era el defensor de oficio quien debía interponer el recurso y se desconocía que el autor hubiera designado abogado particular</w:t>
      </w:r>
      <w:r w:rsidRPr="00D66087">
        <w:rPr>
          <w:vertAlign w:val="superscript"/>
        </w:rPr>
        <w:footnoteReference w:id="5"/>
      </w:r>
      <w:r w:rsidR="0061021D">
        <w:rPr>
          <w:lang w:val="es-ES_tradnl"/>
        </w:rPr>
        <w:t>.</w:t>
      </w:r>
      <w:r w:rsidRPr="00572F74">
        <w:rPr>
          <w:lang w:val="es-ES_tradnl"/>
        </w:rPr>
        <w:t xml:space="preserve"> Asimismo,</w:t>
      </w:r>
      <w:r>
        <w:rPr>
          <w:lang w:val="es-ES_tradnl"/>
        </w:rPr>
        <w:t xml:space="preserve"> el Juez </w:t>
      </w:r>
      <w:r w:rsidRPr="00572F74">
        <w:rPr>
          <w:lang w:val="es-ES_tradnl"/>
        </w:rPr>
        <w:t xml:space="preserve">denegó </w:t>
      </w:r>
      <w:r>
        <w:rPr>
          <w:lang w:val="es-ES_tradnl"/>
        </w:rPr>
        <w:t xml:space="preserve">al </w:t>
      </w:r>
      <w:r w:rsidRPr="00572F74">
        <w:rPr>
          <w:lang w:val="es-ES_tradnl"/>
        </w:rPr>
        <w:t xml:space="preserve">autor </w:t>
      </w:r>
      <w:r>
        <w:rPr>
          <w:lang w:val="es-ES_tradnl"/>
        </w:rPr>
        <w:t xml:space="preserve">su petición de </w:t>
      </w:r>
      <w:r w:rsidRPr="00572F74">
        <w:rPr>
          <w:lang w:val="es-ES_tradnl"/>
        </w:rPr>
        <w:t xml:space="preserve">designar </w:t>
      </w:r>
      <w:r>
        <w:rPr>
          <w:lang w:val="es-ES_tradnl"/>
        </w:rPr>
        <w:t>un abogado defensor</w:t>
      </w:r>
      <w:r w:rsidRPr="00572F74">
        <w:rPr>
          <w:lang w:val="es-ES_tradnl"/>
        </w:rPr>
        <w:t xml:space="preserve"> de su elección.</w:t>
      </w:r>
    </w:p>
    <w:p w:rsidR="003212CC" w:rsidRDefault="003212CC" w:rsidP="003212CC">
      <w:pPr>
        <w:pStyle w:val="SingleTxtG"/>
        <w:rPr>
          <w:lang w:val="es-ES_tradnl"/>
        </w:rPr>
      </w:pPr>
      <w:r>
        <w:rPr>
          <w:lang w:val="es-ES_tradnl"/>
        </w:rPr>
        <w:t>2.7</w:t>
      </w:r>
      <w:r>
        <w:rPr>
          <w:lang w:val="es-ES_tradnl"/>
        </w:rPr>
        <w:tab/>
      </w:r>
      <w:r w:rsidRPr="00A129F2">
        <w:rPr>
          <w:lang w:val="es-ES_tradnl"/>
        </w:rPr>
        <w:t>El 13 d</w:t>
      </w:r>
      <w:r>
        <w:rPr>
          <w:lang w:val="es-ES_tradnl"/>
        </w:rPr>
        <w:t>e octubre de 2011, la madre del autor, a través del abogado de oficio, solicitó al Juez Noveno Penal la libertad del autor, argumentando que se haría cargo de su cuidado, tratamiento y vigilancia</w:t>
      </w:r>
      <w:r>
        <w:rPr>
          <w:rStyle w:val="Refdenotaalpie"/>
          <w:lang w:val="es-ES_tradnl"/>
        </w:rPr>
        <w:footnoteReference w:id="6"/>
      </w:r>
      <w:r>
        <w:rPr>
          <w:lang w:val="es-ES_tradnl"/>
        </w:rPr>
        <w:t xml:space="preserve">. Sin embargo, el 17 de octubre de 2011, el juez denegó la petición, ya que </w:t>
      </w:r>
      <w:r w:rsidRPr="00A129F2">
        <w:rPr>
          <w:lang w:val="es-ES_tradnl"/>
        </w:rPr>
        <w:t xml:space="preserve">no se había demostrado la forma de tratamiento que </w:t>
      </w:r>
      <w:r>
        <w:rPr>
          <w:lang w:val="es-ES_tradnl"/>
        </w:rPr>
        <w:t>daría al autor, ni</w:t>
      </w:r>
      <w:r w:rsidRPr="00A129F2">
        <w:rPr>
          <w:lang w:val="es-ES_tradnl"/>
        </w:rPr>
        <w:t xml:space="preserve"> de qué manera llevaría</w:t>
      </w:r>
      <w:r>
        <w:rPr>
          <w:lang w:val="es-ES_tradnl"/>
        </w:rPr>
        <w:t xml:space="preserve"> a cabo la vigilancia del mismo, por lo que la solicitud no cumplía con las exigencias señaladas en el informe médico del 11 de octubre de 2011. </w:t>
      </w:r>
    </w:p>
    <w:p w:rsidR="003212CC" w:rsidRDefault="003212CC" w:rsidP="003212CC">
      <w:pPr>
        <w:pStyle w:val="SingleTxtG"/>
        <w:rPr>
          <w:lang w:val="es-ES_tradnl"/>
        </w:rPr>
      </w:pPr>
      <w:r>
        <w:rPr>
          <w:lang w:val="es-ES_tradnl"/>
        </w:rPr>
        <w:t>2.8</w:t>
      </w:r>
      <w:r w:rsidRPr="00C30966">
        <w:rPr>
          <w:lang w:val="es-ES_tradnl"/>
        </w:rPr>
        <w:tab/>
      </w:r>
      <w:r>
        <w:rPr>
          <w:lang w:val="es-ES_tradnl"/>
        </w:rPr>
        <w:t>Los 20 y 26 de octubre de 2011 se celebró la Audiencia Principal, y el 11 de noviembre de 2011 se celebró la Audiencia de Vista dentro del Procedimiento Especial para Inimputables en contra del autor</w:t>
      </w:r>
      <w:r w:rsidR="00690605">
        <w:rPr>
          <w:lang w:val="es-ES_tradnl"/>
        </w:rPr>
        <w:t>. N</w:t>
      </w:r>
      <w:r>
        <w:rPr>
          <w:lang w:val="es-ES_tradnl"/>
        </w:rPr>
        <w:t xml:space="preserve">o fue convocado ni compareció a ninguna de estas audiencias. </w:t>
      </w:r>
    </w:p>
    <w:p w:rsidR="003212CC" w:rsidRDefault="003212CC" w:rsidP="003212CC">
      <w:pPr>
        <w:pStyle w:val="SingleTxtG"/>
        <w:rPr>
          <w:lang w:val="es-ES_tradnl"/>
        </w:rPr>
      </w:pPr>
      <w:r>
        <w:rPr>
          <w:lang w:val="es-ES_tradnl"/>
        </w:rPr>
        <w:t>2.9</w:t>
      </w:r>
      <w:r>
        <w:rPr>
          <w:lang w:val="es-ES_tradnl"/>
        </w:rPr>
        <w:tab/>
      </w:r>
      <w:r w:rsidRPr="0080178B">
        <w:rPr>
          <w:lang w:val="es-ES_tradnl"/>
        </w:rPr>
        <w:t xml:space="preserve">El 5 de diciembre de 2011, el Juez </w:t>
      </w:r>
      <w:r>
        <w:rPr>
          <w:lang w:val="es-ES_tradnl"/>
        </w:rPr>
        <w:t xml:space="preserve">Noveno </w:t>
      </w:r>
      <w:r w:rsidRPr="0080178B">
        <w:rPr>
          <w:lang w:val="es-ES_tradnl"/>
        </w:rPr>
        <w:t xml:space="preserve">Penal </w:t>
      </w:r>
      <w:r>
        <w:rPr>
          <w:lang w:val="es-ES_tradnl"/>
        </w:rPr>
        <w:t xml:space="preserve">condenó al autor por el delito de robo y le impuso una medida de seguridad por cuatro años, correspondiente a su internamiento en una institución o área de rehabilitación psicosocial del sistema penal. Además, el juez estableció que, una vez finalizada su condena, el autor debía ser puesto bajo custodia de su familia, o de no tenerla, </w:t>
      </w:r>
      <w:r w:rsidRPr="00C82F3E">
        <w:rPr>
          <w:lang w:val="es-ES_tradnl"/>
        </w:rPr>
        <w:t>de las autoridades de salud o institución asistencial</w:t>
      </w:r>
      <w:r>
        <w:rPr>
          <w:lang w:val="es-ES_tradnl"/>
        </w:rPr>
        <w:t>. La sentencia fue notificada únicamente al abogado de oficio</w:t>
      </w:r>
      <w:r w:rsidR="00690605">
        <w:rPr>
          <w:lang w:val="es-ES_tradnl"/>
        </w:rPr>
        <w:t>.</w:t>
      </w:r>
      <w:r>
        <w:rPr>
          <w:lang w:val="es-ES_tradnl"/>
        </w:rPr>
        <w:t xml:space="preserve"> y no al autor, quien no fue informado de los recursos que podía interponer. </w:t>
      </w:r>
    </w:p>
    <w:p w:rsidR="003212CC" w:rsidRDefault="003212CC" w:rsidP="003212CC">
      <w:pPr>
        <w:pStyle w:val="SingleTxtG"/>
        <w:rPr>
          <w:lang w:val="es-ES_tradnl"/>
        </w:rPr>
      </w:pPr>
      <w:r>
        <w:rPr>
          <w:lang w:val="es-ES_tradnl"/>
        </w:rPr>
        <w:t>2.10</w:t>
      </w:r>
      <w:r>
        <w:rPr>
          <w:lang w:val="es-ES_tradnl"/>
        </w:rPr>
        <w:tab/>
      </w:r>
      <w:r w:rsidRPr="00FB7E73">
        <w:rPr>
          <w:lang w:val="es-ES_tradnl"/>
        </w:rPr>
        <w:t xml:space="preserve">El 13 de diciembre de 2011, la sentencia de primera instancia </w:t>
      </w:r>
      <w:r>
        <w:rPr>
          <w:lang w:val="es-ES_tradnl"/>
        </w:rPr>
        <w:t>se volvió</w:t>
      </w:r>
      <w:r w:rsidRPr="00FB7E73">
        <w:rPr>
          <w:lang w:val="es-ES_tradnl"/>
        </w:rPr>
        <w:t xml:space="preserve"> ejecutoria,</w:t>
      </w:r>
      <w:r>
        <w:rPr>
          <w:lang w:val="es-ES_tradnl"/>
        </w:rPr>
        <w:t xml:space="preserve"> por no haberse interpuesto recurso de a</w:t>
      </w:r>
      <w:r w:rsidRPr="00FB7E73">
        <w:rPr>
          <w:lang w:val="es-ES_tradnl"/>
        </w:rPr>
        <w:t>pelación.</w:t>
      </w:r>
      <w:r>
        <w:rPr>
          <w:lang w:val="es-ES_tradnl"/>
        </w:rPr>
        <w:t xml:space="preserve"> El autor no fue notificado de la resolución que declaraba ejecutoriada la sentencia.</w:t>
      </w:r>
    </w:p>
    <w:p w:rsidR="003212CC" w:rsidRDefault="003212CC" w:rsidP="003212CC">
      <w:pPr>
        <w:pStyle w:val="SingleTxtG"/>
        <w:rPr>
          <w:lang w:val="es-ES_tradnl"/>
        </w:rPr>
      </w:pPr>
      <w:r>
        <w:rPr>
          <w:lang w:val="es-ES_tradnl"/>
        </w:rPr>
        <w:t>2.11</w:t>
      </w:r>
      <w:r>
        <w:rPr>
          <w:lang w:val="es-ES_tradnl"/>
        </w:rPr>
        <w:tab/>
      </w:r>
      <w:r w:rsidR="00690605">
        <w:rPr>
          <w:lang w:val="es-ES_tradnl"/>
        </w:rPr>
        <w:t>F</w:t>
      </w:r>
      <w:r>
        <w:rPr>
          <w:lang w:val="es-ES_tradnl"/>
        </w:rPr>
        <w:t xml:space="preserve">ue hasta enero de 2012 que </w:t>
      </w:r>
      <w:r w:rsidR="00690605">
        <w:rPr>
          <w:lang w:val="es-ES_tradnl"/>
        </w:rPr>
        <w:t xml:space="preserve">la </w:t>
      </w:r>
      <w:r>
        <w:rPr>
          <w:lang w:val="es-ES_tradnl"/>
        </w:rPr>
        <w:t>madre</w:t>
      </w:r>
      <w:r w:rsidR="00690605">
        <w:rPr>
          <w:lang w:val="es-ES_tradnl"/>
        </w:rPr>
        <w:t xml:space="preserve"> del autor</w:t>
      </w:r>
      <w:r>
        <w:rPr>
          <w:lang w:val="es-ES_tradnl"/>
        </w:rPr>
        <w:t xml:space="preserve"> tuvo conocimiento de que la sentencia de primera instancia había causado ejecutoria, cuando visitó al abogado de oficio. En ese momento, </w:t>
      </w:r>
      <w:r w:rsidRPr="000F3213">
        <w:rPr>
          <w:lang w:val="es-ES_tradnl"/>
        </w:rPr>
        <w:t xml:space="preserve">solicitó al defensor de oficio promover un incidente no especificado para obtener el </w:t>
      </w:r>
      <w:proofErr w:type="spellStart"/>
      <w:r w:rsidRPr="000F3213">
        <w:rPr>
          <w:lang w:val="es-ES_tradnl"/>
        </w:rPr>
        <w:t>externamiento</w:t>
      </w:r>
      <w:proofErr w:type="spellEnd"/>
      <w:r>
        <w:rPr>
          <w:lang w:val="es-ES_tradnl"/>
        </w:rPr>
        <w:t xml:space="preserve"> </w:t>
      </w:r>
      <w:r w:rsidRPr="000F3213">
        <w:rPr>
          <w:lang w:val="es-ES_tradnl"/>
        </w:rPr>
        <w:t>de</w:t>
      </w:r>
      <w:r>
        <w:rPr>
          <w:lang w:val="es-ES_tradnl"/>
        </w:rPr>
        <w:t>l autor</w:t>
      </w:r>
      <w:r>
        <w:rPr>
          <w:rStyle w:val="Refdenotaalpie"/>
          <w:lang w:val="es-ES_tradnl"/>
        </w:rPr>
        <w:footnoteReference w:id="7"/>
      </w:r>
      <w:r>
        <w:rPr>
          <w:lang w:val="es-ES_tradnl"/>
        </w:rPr>
        <w:t>. No obstante, tal solicitud fue denegada por el Juez Noveno Penal.</w:t>
      </w:r>
    </w:p>
    <w:p w:rsidR="003212CC" w:rsidRDefault="003212CC" w:rsidP="003212CC">
      <w:pPr>
        <w:pStyle w:val="SingleTxtG"/>
        <w:rPr>
          <w:lang w:val="es-ES_tradnl"/>
        </w:rPr>
      </w:pPr>
      <w:r>
        <w:rPr>
          <w:lang w:val="es-ES_tradnl"/>
        </w:rPr>
        <w:t>2.12</w:t>
      </w:r>
      <w:r>
        <w:rPr>
          <w:lang w:val="es-ES_tradnl"/>
        </w:rPr>
        <w:tab/>
        <w:t>En junio de</w:t>
      </w:r>
      <w:r w:rsidRPr="000F3213">
        <w:rPr>
          <w:lang w:val="es-ES_tradnl"/>
        </w:rPr>
        <w:t xml:space="preserve"> 2012, </w:t>
      </w:r>
      <w:r>
        <w:rPr>
          <w:lang w:val="es-ES_tradnl"/>
        </w:rPr>
        <w:t xml:space="preserve">la madre del autor solicitó </w:t>
      </w:r>
      <w:r w:rsidRPr="000F3213">
        <w:rPr>
          <w:lang w:val="es-ES_tradnl"/>
        </w:rPr>
        <w:t xml:space="preserve">nuevamente el </w:t>
      </w:r>
      <w:proofErr w:type="spellStart"/>
      <w:r w:rsidRPr="000F3213">
        <w:rPr>
          <w:lang w:val="es-ES_tradnl"/>
        </w:rPr>
        <w:t>externamiento</w:t>
      </w:r>
      <w:proofErr w:type="spellEnd"/>
      <w:r w:rsidRPr="000F3213">
        <w:rPr>
          <w:lang w:val="es-ES_tradnl"/>
        </w:rPr>
        <w:t xml:space="preserve"> de</w:t>
      </w:r>
      <w:r>
        <w:rPr>
          <w:lang w:val="es-ES_tradnl"/>
        </w:rPr>
        <w:t>l autor</w:t>
      </w:r>
      <w:r w:rsidR="00FB07F3">
        <w:rPr>
          <w:lang w:val="es-ES_tradnl"/>
        </w:rPr>
        <w:t>,</w:t>
      </w:r>
      <w:r>
        <w:rPr>
          <w:lang w:val="es-ES_tradnl"/>
        </w:rPr>
        <w:t xml:space="preserve"> </w:t>
      </w:r>
      <w:r w:rsidR="00690605">
        <w:rPr>
          <w:lang w:val="es-ES_tradnl"/>
        </w:rPr>
        <w:t>pero</w:t>
      </w:r>
      <w:r w:rsidRPr="000F3213">
        <w:rPr>
          <w:lang w:val="es-ES_tradnl"/>
        </w:rPr>
        <w:t xml:space="preserve"> </w:t>
      </w:r>
      <w:r>
        <w:rPr>
          <w:lang w:val="es-ES_tradnl"/>
        </w:rPr>
        <w:t xml:space="preserve">fue denegado por </w:t>
      </w:r>
      <w:r w:rsidRPr="000F3213">
        <w:rPr>
          <w:lang w:val="es-ES_tradnl"/>
        </w:rPr>
        <w:t xml:space="preserve">el Juez Penal. </w:t>
      </w:r>
      <w:r w:rsidR="00690605">
        <w:rPr>
          <w:lang w:val="es-ES_tradnl"/>
        </w:rPr>
        <w:t>También</w:t>
      </w:r>
      <w:r>
        <w:rPr>
          <w:lang w:val="es-ES_tradnl"/>
        </w:rPr>
        <w:t xml:space="preserve"> solicitó copias de su expediente al abogado de oficio para buscar soluciones alternativas</w:t>
      </w:r>
      <w:r w:rsidR="00690605">
        <w:rPr>
          <w:lang w:val="es-ES_tradnl"/>
        </w:rPr>
        <w:t xml:space="preserve"> pero no </w:t>
      </w:r>
      <w:r>
        <w:rPr>
          <w:lang w:val="es-ES_tradnl"/>
        </w:rPr>
        <w:t>se las entregó.</w:t>
      </w:r>
    </w:p>
    <w:p w:rsidR="003212CC" w:rsidRDefault="003212CC" w:rsidP="003212CC">
      <w:pPr>
        <w:pStyle w:val="SingleTxtG"/>
        <w:rPr>
          <w:lang w:val="es-ES_tradnl"/>
        </w:rPr>
      </w:pPr>
      <w:r>
        <w:rPr>
          <w:lang w:val="es-ES_tradnl"/>
        </w:rPr>
        <w:t>2.13</w:t>
      </w:r>
      <w:r>
        <w:rPr>
          <w:lang w:val="es-ES_tradnl"/>
        </w:rPr>
        <w:tab/>
        <w:t xml:space="preserve">En 2014, la madre del autor pidió apoyo a la organización </w:t>
      </w:r>
      <w:r w:rsidRPr="006708BE">
        <w:rPr>
          <w:lang w:val="es-ES_tradnl"/>
        </w:rPr>
        <w:t>Documenta, Análisis y Acción para la Justicia Social</w:t>
      </w:r>
      <w:r>
        <w:rPr>
          <w:lang w:val="es-ES_tradnl"/>
        </w:rPr>
        <w:t xml:space="preserve">. En octubre de ese mismo año, los abogados de dicha asociación interpusieron una </w:t>
      </w:r>
      <w:r w:rsidRPr="00935F1F">
        <w:rPr>
          <w:lang w:val="es-ES_tradnl"/>
        </w:rPr>
        <w:t>demanda de amparo directo</w:t>
      </w:r>
      <w:r w:rsidRPr="006708BE">
        <w:rPr>
          <w:lang w:val="es-ES_tradnl"/>
        </w:rPr>
        <w:t xml:space="preserve"> en contra de la sentencia</w:t>
      </w:r>
      <w:r>
        <w:rPr>
          <w:lang w:val="es-ES_tradnl"/>
        </w:rPr>
        <w:t xml:space="preserve"> condenatoria del 5 de diciembre de 2011. </w:t>
      </w:r>
    </w:p>
    <w:p w:rsidR="003212CC" w:rsidRDefault="003212CC" w:rsidP="003212CC">
      <w:pPr>
        <w:pStyle w:val="SingleTxtG"/>
        <w:rPr>
          <w:lang w:val="es-ES_tradnl"/>
        </w:rPr>
      </w:pPr>
      <w:r>
        <w:rPr>
          <w:lang w:val="es-ES_tradnl"/>
        </w:rPr>
        <w:t>2.14</w:t>
      </w:r>
      <w:r>
        <w:rPr>
          <w:lang w:val="es-ES_tradnl"/>
        </w:rPr>
        <w:tab/>
        <w:t xml:space="preserve">En la demanda de amparo, el autor alegó que no se habían respetado las garantías del debido proceso, ya que no había sido oído en el juicio. Denunció que no se le permitió </w:t>
      </w:r>
      <w:r>
        <w:rPr>
          <w:lang w:val="es-ES_tradnl"/>
        </w:rPr>
        <w:lastRenderedPageBreak/>
        <w:t xml:space="preserve">designar un abogado defensor de su elección, ni aportar pruebas para su defensa, y que se quebrantó </w:t>
      </w:r>
      <w:r w:rsidRPr="009D139B">
        <w:rPr>
          <w:lang w:val="es-ES_tradnl"/>
        </w:rPr>
        <w:t>la presunción de inocencia, entre ot</w:t>
      </w:r>
      <w:r>
        <w:rPr>
          <w:lang w:val="es-ES_tradnl"/>
        </w:rPr>
        <w:t>ras cosas, debido a que fue</w:t>
      </w:r>
      <w:r w:rsidRPr="009D139B">
        <w:rPr>
          <w:lang w:val="es-ES_tradnl"/>
        </w:rPr>
        <w:t xml:space="preserve"> sometido a</w:t>
      </w:r>
      <w:r>
        <w:rPr>
          <w:lang w:val="es-ES_tradnl"/>
        </w:rPr>
        <w:t xml:space="preserve"> la figura de inimputabilidad</w:t>
      </w:r>
      <w:r>
        <w:rPr>
          <w:rStyle w:val="Refdenotaalpie"/>
          <w:lang w:val="es-ES_tradnl"/>
        </w:rPr>
        <w:footnoteReference w:id="8"/>
      </w:r>
      <w:r>
        <w:rPr>
          <w:lang w:val="es-ES_tradnl"/>
        </w:rPr>
        <w:t>. El autor solicitó al Tribunal realizar una excepción al a</w:t>
      </w:r>
      <w:r w:rsidRPr="005F4530">
        <w:rPr>
          <w:lang w:val="es-ES_tradnl"/>
        </w:rPr>
        <w:t xml:space="preserve">gotamiento </w:t>
      </w:r>
      <w:r>
        <w:rPr>
          <w:lang w:val="es-ES_tradnl"/>
        </w:rPr>
        <w:t xml:space="preserve">del “principio de </w:t>
      </w:r>
      <w:proofErr w:type="spellStart"/>
      <w:r>
        <w:rPr>
          <w:lang w:val="es-ES_tradnl"/>
        </w:rPr>
        <w:t>definitividad</w:t>
      </w:r>
      <w:proofErr w:type="spellEnd"/>
      <w:r>
        <w:rPr>
          <w:lang w:val="es-ES_tradnl"/>
        </w:rPr>
        <w:t>”</w:t>
      </w:r>
      <w:r>
        <w:rPr>
          <w:rStyle w:val="Refdenotaalpie"/>
          <w:lang w:val="es-ES_tradnl"/>
        </w:rPr>
        <w:footnoteReference w:id="9"/>
      </w:r>
      <w:r w:rsidRPr="005F4530">
        <w:rPr>
          <w:lang w:val="es-ES_tradnl"/>
        </w:rPr>
        <w:t xml:space="preserve"> debido a que </w:t>
      </w:r>
      <w:r>
        <w:rPr>
          <w:lang w:val="es-ES_tradnl"/>
        </w:rPr>
        <w:t>la falta de reconocimiento de su</w:t>
      </w:r>
      <w:r w:rsidRPr="005F4530">
        <w:rPr>
          <w:lang w:val="es-ES_tradnl"/>
        </w:rPr>
        <w:t xml:space="preserve"> capacidad jurídica había provocado </w:t>
      </w:r>
      <w:r>
        <w:rPr>
          <w:lang w:val="es-ES_tradnl"/>
        </w:rPr>
        <w:t>violaciones graves al debido proceso y</w:t>
      </w:r>
      <w:r w:rsidRPr="005F4530">
        <w:rPr>
          <w:lang w:val="es-ES_tradnl"/>
        </w:rPr>
        <w:t xml:space="preserve">a </w:t>
      </w:r>
      <w:r>
        <w:rPr>
          <w:lang w:val="es-ES_tradnl"/>
        </w:rPr>
        <w:t>que no tuvo la</w:t>
      </w:r>
      <w:r w:rsidRPr="005F4530">
        <w:rPr>
          <w:lang w:val="es-ES_tradnl"/>
        </w:rPr>
        <w:t xml:space="preserve"> posibilidad de </w:t>
      </w:r>
      <w:r>
        <w:rPr>
          <w:lang w:val="es-ES_tradnl"/>
        </w:rPr>
        <w:t>apelar</w:t>
      </w:r>
      <w:r w:rsidRPr="005F4530">
        <w:rPr>
          <w:lang w:val="es-ES_tradnl"/>
        </w:rPr>
        <w:t xml:space="preserve"> la sentencia de primera instancia.</w:t>
      </w:r>
      <w:r>
        <w:rPr>
          <w:lang w:val="es-ES_tradnl"/>
        </w:rPr>
        <w:t xml:space="preserve"> El autor</w:t>
      </w:r>
      <w:r w:rsidRPr="005F4530">
        <w:rPr>
          <w:lang w:val="es-ES_tradnl"/>
        </w:rPr>
        <w:t xml:space="preserve"> señaló </w:t>
      </w:r>
      <w:r>
        <w:rPr>
          <w:lang w:val="es-ES_tradnl"/>
        </w:rPr>
        <w:t xml:space="preserve">además </w:t>
      </w:r>
      <w:r w:rsidRPr="005F4530">
        <w:rPr>
          <w:lang w:val="es-ES_tradnl"/>
        </w:rPr>
        <w:t xml:space="preserve">la inconstitucionalidad </w:t>
      </w:r>
      <w:r>
        <w:rPr>
          <w:lang w:val="es-ES_tradnl"/>
        </w:rPr>
        <w:t>de la legislación que hace referencia a la figura de la inimputabilidad y al procedimiento especial para inimputables recogido en el Código Penal del Distrito Federal y en el Código de Procedimientos Penales del Distrito Federal.</w:t>
      </w:r>
      <w:r w:rsidR="0024508D">
        <w:rPr>
          <w:lang w:val="es-ES_tradnl"/>
        </w:rPr>
        <w:t xml:space="preserve"> </w:t>
      </w:r>
    </w:p>
    <w:p w:rsidR="003212CC" w:rsidRDefault="003212CC" w:rsidP="003212CC">
      <w:pPr>
        <w:pStyle w:val="SingleTxtG"/>
        <w:rPr>
          <w:lang w:val="es-ES_tradnl"/>
        </w:rPr>
      </w:pPr>
      <w:r>
        <w:rPr>
          <w:lang w:val="es-ES_tradnl"/>
        </w:rPr>
        <w:t>2.15</w:t>
      </w:r>
      <w:r>
        <w:rPr>
          <w:lang w:val="es-ES_tradnl"/>
        </w:rPr>
        <w:tab/>
        <w:t xml:space="preserve">La demanda de amparo fue remitida al Séptimo </w:t>
      </w:r>
      <w:r w:rsidRPr="005F4530">
        <w:rPr>
          <w:lang w:val="es-ES_tradnl"/>
        </w:rPr>
        <w:t>Tribunal</w:t>
      </w:r>
      <w:r>
        <w:rPr>
          <w:lang w:val="es-ES_tradnl"/>
        </w:rPr>
        <w:t xml:space="preserve"> </w:t>
      </w:r>
      <w:r w:rsidRPr="00841EEF">
        <w:rPr>
          <w:lang w:val="es-ES_tradnl"/>
        </w:rPr>
        <w:t xml:space="preserve">Colegiado </w:t>
      </w:r>
      <w:r>
        <w:rPr>
          <w:lang w:val="es-ES_tradnl"/>
        </w:rPr>
        <w:t xml:space="preserve">en Materia Penal en el Distrito Federal (Tribunal Colegiado). El 24 de noviembre de 2014, el Tribunal </w:t>
      </w:r>
      <w:r w:rsidRPr="005F4530">
        <w:rPr>
          <w:lang w:val="es-ES_tradnl"/>
        </w:rPr>
        <w:t>se declaró incompetente</w:t>
      </w:r>
      <w:r>
        <w:rPr>
          <w:lang w:val="es-ES_tradnl"/>
        </w:rPr>
        <w:t xml:space="preserve"> </w:t>
      </w:r>
      <w:r w:rsidR="00690605">
        <w:rPr>
          <w:lang w:val="es-ES_tradnl"/>
        </w:rPr>
        <w:t>considerando</w:t>
      </w:r>
      <w:r>
        <w:rPr>
          <w:lang w:val="es-ES_tradnl"/>
        </w:rPr>
        <w:t xml:space="preserve"> que</w:t>
      </w:r>
      <w:r w:rsidRPr="005F4530">
        <w:rPr>
          <w:lang w:val="es-ES_tradnl"/>
        </w:rPr>
        <w:t xml:space="preserve"> </w:t>
      </w:r>
      <w:r>
        <w:rPr>
          <w:lang w:val="es-ES_tradnl"/>
        </w:rPr>
        <w:t>l</w:t>
      </w:r>
      <w:r w:rsidRPr="005F4530">
        <w:rPr>
          <w:lang w:val="es-ES_tradnl"/>
        </w:rPr>
        <w:t>a sentencia</w:t>
      </w:r>
      <w:r>
        <w:rPr>
          <w:lang w:val="es-ES_tradnl"/>
        </w:rPr>
        <w:t xml:space="preserve"> impugnada no era una sentencia definitiva </w:t>
      </w:r>
      <w:r w:rsidR="00690605">
        <w:rPr>
          <w:lang w:val="es-ES_tradnl"/>
        </w:rPr>
        <w:t>mientras</w:t>
      </w:r>
      <w:r>
        <w:rPr>
          <w:lang w:val="es-ES_tradnl"/>
        </w:rPr>
        <w:t xml:space="preserve"> el</w:t>
      </w:r>
      <w:r w:rsidRPr="005F4530">
        <w:rPr>
          <w:lang w:val="es-ES_tradnl"/>
        </w:rPr>
        <w:t xml:space="preserve"> juicio de amparo directo únicamente podría versar sobre sentencia</w:t>
      </w:r>
      <w:r>
        <w:rPr>
          <w:lang w:val="es-ES_tradnl"/>
        </w:rPr>
        <w:t xml:space="preserve">s definitivas. </w:t>
      </w:r>
      <w:r w:rsidR="00690605">
        <w:rPr>
          <w:lang w:val="es-ES_tradnl"/>
        </w:rPr>
        <w:t>P</w:t>
      </w:r>
      <w:r w:rsidRPr="003D0DE8">
        <w:rPr>
          <w:lang w:val="es-ES_tradnl"/>
        </w:rPr>
        <w:t>ara “no dejar al autor en estado de indefensión”</w:t>
      </w:r>
      <w:r>
        <w:rPr>
          <w:lang w:val="es-ES_tradnl"/>
        </w:rPr>
        <w:t>,</w:t>
      </w:r>
      <w:r w:rsidRPr="003D0DE8">
        <w:rPr>
          <w:lang w:val="es-ES_tradnl"/>
        </w:rPr>
        <w:t xml:space="preserve"> </w:t>
      </w:r>
      <w:r w:rsidR="00690605">
        <w:rPr>
          <w:lang w:val="es-ES_tradnl"/>
        </w:rPr>
        <w:t xml:space="preserve">el Tribunal </w:t>
      </w:r>
      <w:r>
        <w:rPr>
          <w:lang w:val="es-ES_tradnl"/>
        </w:rPr>
        <w:t xml:space="preserve">decidió transferir la demanda a un juzgado de distrito con el objetivo de que resolviera por la vía de un </w:t>
      </w:r>
      <w:r w:rsidRPr="00935F1F">
        <w:rPr>
          <w:lang w:val="es-ES_tradnl"/>
        </w:rPr>
        <w:t>juicio de amparo indirecto</w:t>
      </w:r>
      <w:r>
        <w:rPr>
          <w:rStyle w:val="Refdenotaalpie"/>
          <w:lang w:val="es-ES_tradnl"/>
        </w:rPr>
        <w:footnoteReference w:id="10"/>
      </w:r>
      <w:r w:rsidRPr="00935F1F">
        <w:rPr>
          <w:lang w:val="es-ES_tradnl"/>
        </w:rPr>
        <w:t>.</w:t>
      </w:r>
    </w:p>
    <w:p w:rsidR="003212CC" w:rsidRDefault="003212CC" w:rsidP="003212CC">
      <w:pPr>
        <w:pStyle w:val="SingleTxtG"/>
        <w:rPr>
          <w:lang w:val="es-ES_tradnl"/>
        </w:rPr>
      </w:pPr>
      <w:r w:rsidRPr="002A196E">
        <w:rPr>
          <w:lang w:val="es-ES_tradnl"/>
        </w:rPr>
        <w:t>2.16</w:t>
      </w:r>
      <w:r w:rsidRPr="002A196E">
        <w:rPr>
          <w:lang w:val="es-ES_tradnl"/>
        </w:rPr>
        <w:tab/>
        <w:t xml:space="preserve">El 1 de diciembre de 2014, el autor interpuso recurso de reclamación contra la decisión del Tribunal Colegiado </w:t>
      </w:r>
      <w:r>
        <w:rPr>
          <w:lang w:val="es-ES_tradnl"/>
        </w:rPr>
        <w:t>tomando en cuenta</w:t>
      </w:r>
      <w:r w:rsidRPr="002A196E">
        <w:rPr>
          <w:lang w:val="es-ES_tradnl"/>
        </w:rPr>
        <w:t xml:space="preserve"> que</w:t>
      </w:r>
      <w:r w:rsidRPr="002A196E">
        <w:rPr>
          <w:lang w:val="es-419"/>
        </w:rPr>
        <w:t xml:space="preserve"> el juicio de amparo indirecto no podría resolver todas</w:t>
      </w:r>
      <w:r w:rsidRPr="00535AD4">
        <w:rPr>
          <w:lang w:val="es-419"/>
        </w:rPr>
        <w:t xml:space="preserve"> las pretensiones y violaciones que se dieron en el proceso</w:t>
      </w:r>
      <w:r>
        <w:rPr>
          <w:lang w:val="es-ES_tradnl"/>
        </w:rPr>
        <w:t xml:space="preserve">. En el recurso de reclamación, el autor argumentó que la sentencia que impugnaba era definitiva, ya que había causado ejecutoria, y no era posible interponer un recurso ordinario. El autor tampoco pudo interponer recurso de apelación, porque fue excluido del proceso penal y no tuvo conocimiento del curso del mismo. </w:t>
      </w:r>
      <w:r w:rsidRPr="00841EEF">
        <w:rPr>
          <w:lang w:val="es-ES_tradnl"/>
        </w:rPr>
        <w:t>Sin embargo, el Tribunal Colegiado ya había remitido el expediente al Juzgado Décimo Tercero de Distrito de Amparo en Materia Penal</w:t>
      </w:r>
      <w:r>
        <w:rPr>
          <w:lang w:val="es-ES_tradnl"/>
        </w:rPr>
        <w:t xml:space="preserve"> (Juzgado de Distrito de Amparo)</w:t>
      </w:r>
      <w:r w:rsidRPr="00841EEF">
        <w:rPr>
          <w:lang w:val="es-ES_tradnl"/>
        </w:rPr>
        <w:t>.</w:t>
      </w:r>
      <w:r w:rsidR="0024508D">
        <w:rPr>
          <w:lang w:val="es-ES_tradnl"/>
        </w:rPr>
        <w:t xml:space="preserve"> </w:t>
      </w:r>
      <w:r>
        <w:rPr>
          <w:lang w:val="es-ES_tradnl"/>
        </w:rPr>
        <w:t>El 26 de noviembre de 2014, el referido Juzgado</w:t>
      </w:r>
      <w:r w:rsidRPr="000D67D9">
        <w:rPr>
          <w:lang w:val="es-ES_tradnl"/>
        </w:rPr>
        <w:t xml:space="preserve"> aceptó la competencia</w:t>
      </w:r>
      <w:r>
        <w:rPr>
          <w:lang w:val="es-ES_tradnl"/>
        </w:rPr>
        <w:t xml:space="preserve">, pero </w:t>
      </w:r>
      <w:r w:rsidRPr="000D67D9">
        <w:rPr>
          <w:lang w:val="es-ES_tradnl"/>
        </w:rPr>
        <w:t xml:space="preserve">desestimó la demanda por “no haberse agotado el </w:t>
      </w:r>
      <w:r w:rsidRPr="00544FD0">
        <w:rPr>
          <w:lang w:val="es-ES_tradnl"/>
        </w:rPr>
        <w:t xml:space="preserve">principio de </w:t>
      </w:r>
      <w:r>
        <w:rPr>
          <w:lang w:val="es-ES_tradnl"/>
        </w:rPr>
        <w:t>“</w:t>
      </w:r>
      <w:proofErr w:type="spellStart"/>
      <w:r w:rsidRPr="00544FD0">
        <w:rPr>
          <w:lang w:val="es-ES_tradnl"/>
        </w:rPr>
        <w:t>definitividad</w:t>
      </w:r>
      <w:proofErr w:type="spellEnd"/>
      <w:r w:rsidRPr="000D67D9">
        <w:rPr>
          <w:lang w:val="es-ES_tradnl"/>
        </w:rPr>
        <w:t xml:space="preserve">”. </w:t>
      </w:r>
      <w:r w:rsidRPr="00841EEF">
        <w:rPr>
          <w:lang w:val="es-ES_tradnl"/>
        </w:rPr>
        <w:t xml:space="preserve">El 9 de diciembre de 2014, </w:t>
      </w:r>
      <w:r>
        <w:rPr>
          <w:lang w:val="es-ES_tradnl"/>
        </w:rPr>
        <w:t xml:space="preserve">el autor interpuso </w:t>
      </w:r>
      <w:r w:rsidRPr="00841EEF">
        <w:rPr>
          <w:lang w:val="es-ES_tradnl"/>
        </w:rPr>
        <w:t xml:space="preserve">recurso de queja </w:t>
      </w:r>
      <w:r>
        <w:rPr>
          <w:lang w:val="es-ES_tradnl"/>
        </w:rPr>
        <w:t xml:space="preserve">ante el </w:t>
      </w:r>
      <w:r w:rsidRPr="00841EEF">
        <w:rPr>
          <w:lang w:val="es-ES_tradnl"/>
        </w:rPr>
        <w:t>Trib</w:t>
      </w:r>
      <w:r>
        <w:rPr>
          <w:lang w:val="es-ES_tradnl"/>
        </w:rPr>
        <w:t>unal Colegiado en</w:t>
      </w:r>
      <w:r w:rsidRPr="00841EEF">
        <w:rPr>
          <w:lang w:val="es-ES_tradnl"/>
        </w:rPr>
        <w:t xml:space="preserve"> contra</w:t>
      </w:r>
      <w:r>
        <w:rPr>
          <w:lang w:val="es-ES_tradnl"/>
        </w:rPr>
        <w:t xml:space="preserve"> de</w:t>
      </w:r>
      <w:r w:rsidRPr="00841EEF">
        <w:rPr>
          <w:lang w:val="es-ES_tradnl"/>
        </w:rPr>
        <w:t xml:space="preserve"> </w:t>
      </w:r>
      <w:r>
        <w:rPr>
          <w:lang w:val="es-ES_tradnl"/>
        </w:rPr>
        <w:t xml:space="preserve">la resolución antes mencionada, alegando que se encontraba en un estado de indefensión, ya que no se le permitía acceder a ningún recurso. </w:t>
      </w:r>
    </w:p>
    <w:p w:rsidR="003212CC" w:rsidRDefault="003212CC" w:rsidP="003212CC">
      <w:pPr>
        <w:pStyle w:val="SingleTxtG"/>
        <w:rPr>
          <w:lang w:val="es-ES_tradnl"/>
        </w:rPr>
      </w:pPr>
      <w:r>
        <w:rPr>
          <w:lang w:val="es-ES_tradnl"/>
        </w:rPr>
        <w:t>2.17</w:t>
      </w:r>
      <w:r>
        <w:rPr>
          <w:lang w:val="es-ES_tradnl"/>
        </w:rPr>
        <w:tab/>
        <w:t>E</w:t>
      </w:r>
      <w:r w:rsidRPr="001703AA">
        <w:rPr>
          <w:lang w:val="es-ES_tradnl"/>
        </w:rPr>
        <w:t>l 22 de enero de 2015, el Tribunal Colegiado</w:t>
      </w:r>
      <w:r>
        <w:rPr>
          <w:lang w:val="es-ES_tradnl"/>
        </w:rPr>
        <w:t xml:space="preserve"> resolvió el recurso de reclamación interpuesto en contra de su declaratoria de incompetencia y mantuvo su resolución debido a que la sentencia impugnada no era “definitiva” y que el Juez de Distrito de Amparo a quien</w:t>
      </w:r>
      <w:r w:rsidRPr="001703AA">
        <w:rPr>
          <w:lang w:val="es-ES_tradnl"/>
        </w:rPr>
        <w:t xml:space="preserve"> se había </w:t>
      </w:r>
      <w:r>
        <w:rPr>
          <w:lang w:val="es-ES_tradnl"/>
        </w:rPr>
        <w:t xml:space="preserve">turnado el proceso se había </w:t>
      </w:r>
      <w:r w:rsidRPr="001703AA">
        <w:rPr>
          <w:lang w:val="es-ES_tradnl"/>
        </w:rPr>
        <w:t>declarado competente para conocer del caso.</w:t>
      </w:r>
      <w:r>
        <w:rPr>
          <w:lang w:val="es-ES_tradnl"/>
        </w:rPr>
        <w:t xml:space="preserve"> </w:t>
      </w:r>
    </w:p>
    <w:p w:rsidR="003212CC" w:rsidRDefault="00BB2761" w:rsidP="003212CC">
      <w:pPr>
        <w:pStyle w:val="SingleTxtG"/>
        <w:rPr>
          <w:lang w:val="es-ES_tradnl"/>
        </w:rPr>
      </w:pPr>
      <w:r>
        <w:rPr>
          <w:lang w:val="es-ES_tradnl"/>
        </w:rPr>
        <w:t>2.18</w:t>
      </w:r>
      <w:r w:rsidR="003212CC">
        <w:rPr>
          <w:lang w:val="es-ES_tradnl"/>
        </w:rPr>
        <w:tab/>
        <w:t xml:space="preserve">El </w:t>
      </w:r>
      <w:r w:rsidR="003212CC" w:rsidRPr="001703AA">
        <w:rPr>
          <w:lang w:val="es-ES_tradnl"/>
        </w:rPr>
        <w:t xml:space="preserve">29 de enero de 2015, </w:t>
      </w:r>
      <w:r w:rsidR="003212CC">
        <w:rPr>
          <w:lang w:val="es-ES_tradnl"/>
        </w:rPr>
        <w:t xml:space="preserve">el </w:t>
      </w:r>
      <w:r w:rsidR="003212CC" w:rsidRPr="001703AA">
        <w:rPr>
          <w:lang w:val="es-ES_tradnl"/>
        </w:rPr>
        <w:t>Tribunal Colegiado</w:t>
      </w:r>
      <w:r w:rsidR="003212CC">
        <w:rPr>
          <w:lang w:val="es-ES_tradnl"/>
        </w:rPr>
        <w:t xml:space="preserve"> resolvió el recurso de queja, estableciendo que </w:t>
      </w:r>
      <w:r w:rsidR="003212CC" w:rsidRPr="001703AA">
        <w:rPr>
          <w:lang w:val="es-ES_tradnl"/>
        </w:rPr>
        <w:t>el Juez</w:t>
      </w:r>
      <w:r w:rsidR="003212CC">
        <w:rPr>
          <w:lang w:val="es-ES_tradnl"/>
        </w:rPr>
        <w:t xml:space="preserve"> de Distrito de Amparo</w:t>
      </w:r>
      <w:r w:rsidR="003212CC" w:rsidRPr="001703AA">
        <w:rPr>
          <w:lang w:val="es-ES_tradnl"/>
        </w:rPr>
        <w:t xml:space="preserve"> era competente para conocer del caso, pero no de la totalidad de la sentencia</w:t>
      </w:r>
      <w:r w:rsidR="003212CC">
        <w:rPr>
          <w:lang w:val="es-ES_tradnl"/>
        </w:rPr>
        <w:t>. O</w:t>
      </w:r>
      <w:r w:rsidR="003212CC" w:rsidRPr="001703AA">
        <w:rPr>
          <w:lang w:val="es-ES_tradnl"/>
        </w:rPr>
        <w:t xml:space="preserve">rdenó al Juez de Distrito resolver sobre la falta de notificación de la sentencia de primera instancia y </w:t>
      </w:r>
      <w:r w:rsidR="003212CC">
        <w:rPr>
          <w:lang w:val="es-ES_tradnl"/>
        </w:rPr>
        <w:t>de determinar si se había impedido al autor interponer r</w:t>
      </w:r>
      <w:r w:rsidR="003212CC" w:rsidRPr="001703AA">
        <w:rPr>
          <w:lang w:val="es-ES_tradnl"/>
        </w:rPr>
        <w:t xml:space="preserve">ecurso </w:t>
      </w:r>
      <w:r w:rsidR="003212CC">
        <w:rPr>
          <w:lang w:val="es-ES_tradnl"/>
        </w:rPr>
        <w:t>de apelación</w:t>
      </w:r>
      <w:r w:rsidR="003212CC" w:rsidRPr="001703AA">
        <w:rPr>
          <w:lang w:val="es-ES_tradnl"/>
        </w:rPr>
        <w:t>.</w:t>
      </w:r>
      <w:r w:rsidR="003212CC">
        <w:rPr>
          <w:lang w:val="es-ES_tradnl"/>
        </w:rPr>
        <w:t xml:space="preserve"> A </w:t>
      </w:r>
      <w:r w:rsidR="003212CC" w:rsidRPr="001703AA">
        <w:rPr>
          <w:lang w:val="es-ES_tradnl"/>
        </w:rPr>
        <w:t>petición de la defensa</w:t>
      </w:r>
      <w:r w:rsidR="003212CC">
        <w:rPr>
          <w:lang w:val="es-ES_tradnl"/>
        </w:rPr>
        <w:t xml:space="preserve">, el Tribunal Colegiado </w:t>
      </w:r>
      <w:r w:rsidR="003212CC" w:rsidRPr="001703AA">
        <w:rPr>
          <w:lang w:val="es-ES_tradnl"/>
        </w:rPr>
        <w:t xml:space="preserve">realizó </w:t>
      </w:r>
      <w:r w:rsidR="003212CC">
        <w:rPr>
          <w:lang w:val="es-ES_tradnl"/>
        </w:rPr>
        <w:t>el</w:t>
      </w:r>
      <w:r w:rsidR="003212CC" w:rsidRPr="001703AA">
        <w:rPr>
          <w:lang w:val="es-ES_tradnl"/>
        </w:rPr>
        <w:t xml:space="preserve"> ajuste razonable de redactar una versión sencilla de </w:t>
      </w:r>
      <w:r w:rsidR="003212CC">
        <w:rPr>
          <w:lang w:val="es-ES_tradnl"/>
        </w:rPr>
        <w:t>la resolución. No obstante, negó hacerlo respecto de otras resoluciones derivadas del juicio.</w:t>
      </w:r>
    </w:p>
    <w:p w:rsidR="003212CC" w:rsidRDefault="003212CC" w:rsidP="003212CC">
      <w:pPr>
        <w:pStyle w:val="SingleTxtG"/>
        <w:rPr>
          <w:lang w:val="es-ES_tradnl"/>
        </w:rPr>
      </w:pPr>
      <w:r>
        <w:rPr>
          <w:lang w:val="es-ES_tradnl"/>
        </w:rPr>
        <w:t>2.19</w:t>
      </w:r>
      <w:r>
        <w:rPr>
          <w:lang w:val="es-ES_tradnl"/>
        </w:rPr>
        <w:tab/>
        <w:t>El autor presentó una ampliación de la demanda de amparo indirecto a fin de impugnar la inconstitucionalidad de las leyes referidas a la figura de la inimputabilidad y las medidas de seguridad en el procedimiento penal contra inimputables</w:t>
      </w:r>
      <w:r>
        <w:rPr>
          <w:rStyle w:val="Refdenotaalpie"/>
          <w:lang w:val="es-ES_tradnl"/>
        </w:rPr>
        <w:footnoteReference w:id="11"/>
      </w:r>
      <w:r>
        <w:rPr>
          <w:lang w:val="es-ES_tradnl"/>
        </w:rPr>
        <w:t xml:space="preserve">. Asimismo, solicitó que todos los documentos del proceso se redactaran en versión sencilla para facilitar su comprensión. </w:t>
      </w:r>
    </w:p>
    <w:p w:rsidR="003212CC" w:rsidRDefault="003212CC" w:rsidP="003212CC">
      <w:pPr>
        <w:pStyle w:val="SingleTxtG"/>
        <w:rPr>
          <w:lang w:val="es-ES_tradnl"/>
        </w:rPr>
      </w:pPr>
      <w:r>
        <w:rPr>
          <w:lang w:val="es-ES_tradnl"/>
        </w:rPr>
        <w:lastRenderedPageBreak/>
        <w:t>2.20</w:t>
      </w:r>
      <w:r>
        <w:rPr>
          <w:lang w:val="es-ES_tradnl"/>
        </w:rPr>
        <w:tab/>
        <w:t>El 12 de febrero de 2015, la ampliación de demanda fue desestimada por el Juez de Distrito de Amparo por considerar que la demanda de inconstitucionalidad planteada no guardaba relación con el caso. El Juez, además,</w:t>
      </w:r>
      <w:r w:rsidRPr="00C17874">
        <w:rPr>
          <w:lang w:val="es-ES_tradnl"/>
        </w:rPr>
        <w:t xml:space="preserve"> señaló que no procedía la solicitud de ajustes razonables debido a que </w:t>
      </w:r>
      <w:r>
        <w:rPr>
          <w:lang w:val="es-ES_tradnl"/>
        </w:rPr>
        <w:t xml:space="preserve">el autor se encontraba debidamente asistido por dos personas en el ejercicio de su capacidad jurídica durante el juicio. El </w:t>
      </w:r>
      <w:r w:rsidRPr="00C17874">
        <w:rPr>
          <w:lang w:val="es-ES_tradnl"/>
        </w:rPr>
        <w:t>25 de febrero de 2015</w:t>
      </w:r>
      <w:r>
        <w:rPr>
          <w:lang w:val="es-ES_tradnl"/>
        </w:rPr>
        <w:t xml:space="preserve">, el autor interpuso, por segunda vez, un recurso de queja en contra de la referida resolución y sostuvo que se había violado su derecho a un recurso efectivo, al no poder impugnar las leyes contrarias a la Convención </w:t>
      </w:r>
      <w:r w:rsidRPr="00841760">
        <w:rPr>
          <w:lang w:val="es-ES_tradnl"/>
        </w:rPr>
        <w:t xml:space="preserve">que </w:t>
      </w:r>
      <w:r>
        <w:rPr>
          <w:lang w:val="es-ES_tradnl"/>
        </w:rPr>
        <w:t>vulneraron</w:t>
      </w:r>
      <w:r w:rsidRPr="00841760">
        <w:rPr>
          <w:lang w:val="es-ES_tradnl"/>
        </w:rPr>
        <w:t xml:space="preserve"> su derecho</w:t>
      </w:r>
      <w:r>
        <w:rPr>
          <w:lang w:val="es-ES_tradnl"/>
        </w:rPr>
        <w:t xml:space="preserve"> de acceso a la justicia. El recurso de queja fue trasladado al Séptimo Tribunal Colegiado en Materia de Amparo en el Distrito Federal y el juicio de amparo indirecto fue suspendido hasta que se pronunciara el Tribunal Colegiado. </w:t>
      </w:r>
    </w:p>
    <w:p w:rsidR="003212CC" w:rsidRDefault="003212CC" w:rsidP="003212CC">
      <w:pPr>
        <w:pStyle w:val="SingleTxtG"/>
        <w:rPr>
          <w:lang w:val="es-ES_tradnl"/>
        </w:rPr>
      </w:pPr>
      <w:r>
        <w:rPr>
          <w:lang w:val="es-ES_tradnl"/>
        </w:rPr>
        <w:t>2.21</w:t>
      </w:r>
      <w:r>
        <w:rPr>
          <w:lang w:val="es-ES_tradnl"/>
        </w:rPr>
        <w:tab/>
        <w:t xml:space="preserve">El </w:t>
      </w:r>
      <w:r w:rsidRPr="00841760">
        <w:rPr>
          <w:lang w:val="es-ES_tradnl"/>
        </w:rPr>
        <w:t xml:space="preserve">5 de junio de 2015, el </w:t>
      </w:r>
      <w:r>
        <w:rPr>
          <w:lang w:val="es-ES_tradnl"/>
        </w:rPr>
        <w:t xml:space="preserve">Séptimo Tribunal Colegiado en Materia de Amparo </w:t>
      </w:r>
      <w:r w:rsidRPr="00841760">
        <w:rPr>
          <w:lang w:val="es-ES_tradnl"/>
        </w:rPr>
        <w:t>dictó sentencia sobre el recurso de queja</w:t>
      </w:r>
      <w:r>
        <w:rPr>
          <w:lang w:val="es-ES_tradnl"/>
        </w:rPr>
        <w:t xml:space="preserve">, resolviendo que el recurso era parcialmente fundado y solicitando al Juez Penal que se pronunciara sobre </w:t>
      </w:r>
      <w:r w:rsidRPr="003238DF">
        <w:rPr>
          <w:lang w:val="es-ES_tradnl"/>
        </w:rPr>
        <w:t xml:space="preserve">la falta </w:t>
      </w:r>
      <w:r>
        <w:rPr>
          <w:lang w:val="es-ES_tradnl"/>
        </w:rPr>
        <w:t>de notificación de la sentencia y del a</w:t>
      </w:r>
      <w:r w:rsidRPr="003238DF">
        <w:rPr>
          <w:lang w:val="es-ES_tradnl"/>
        </w:rPr>
        <w:t>uto donde la sentencia</w:t>
      </w:r>
      <w:r>
        <w:rPr>
          <w:lang w:val="es-ES_tradnl"/>
        </w:rPr>
        <w:t xml:space="preserve"> fue declarada</w:t>
      </w:r>
      <w:r w:rsidRPr="003238DF">
        <w:rPr>
          <w:lang w:val="es-ES_tradnl"/>
        </w:rPr>
        <w:t xml:space="preserve"> causa ejecutoria.</w:t>
      </w:r>
      <w:r>
        <w:rPr>
          <w:lang w:val="es-ES_tradnl"/>
        </w:rPr>
        <w:t xml:space="preserve"> Asimismo, la decisión del Juzgado de Distrito de Amparo sostuvo que los actos reclamados inicialmente por el autor no guardaban relación con los artículos del Código Penal y Código de Procedimientos Penales que se pretendía declarar inconstitucionales. En cuanto al agravio presentado por el autor relativo </w:t>
      </w:r>
      <w:r w:rsidRPr="003238DF">
        <w:rPr>
          <w:lang w:val="es-ES_tradnl"/>
        </w:rPr>
        <w:t xml:space="preserve">a la negativa del Juez </w:t>
      </w:r>
      <w:r>
        <w:rPr>
          <w:lang w:val="es-ES_tradnl"/>
        </w:rPr>
        <w:t xml:space="preserve">de Distrito de </w:t>
      </w:r>
      <w:r w:rsidRPr="003238DF">
        <w:rPr>
          <w:lang w:val="es-ES_tradnl"/>
        </w:rPr>
        <w:t>realizar una</w:t>
      </w:r>
      <w:r>
        <w:rPr>
          <w:lang w:val="es-ES_tradnl"/>
        </w:rPr>
        <w:t xml:space="preserve"> versión sencilla de todos los a</w:t>
      </w:r>
      <w:r w:rsidRPr="003238DF">
        <w:rPr>
          <w:lang w:val="es-ES_tradnl"/>
        </w:rPr>
        <w:t>utos del juicio, así como de la sentencia, el Tribunal Colegiado resol</w:t>
      </w:r>
      <w:r>
        <w:rPr>
          <w:lang w:val="es-ES_tradnl"/>
        </w:rPr>
        <w:t xml:space="preserve">vió que era parcialmente fundada, pero </w:t>
      </w:r>
      <w:r w:rsidRPr="003238DF">
        <w:rPr>
          <w:lang w:val="es-ES_tradnl"/>
        </w:rPr>
        <w:t>que únicamente procedía sobre la sentencia del Juicio</w:t>
      </w:r>
      <w:r>
        <w:rPr>
          <w:lang w:val="es-ES_tradnl"/>
        </w:rPr>
        <w:t>.</w:t>
      </w:r>
    </w:p>
    <w:p w:rsidR="003212CC" w:rsidRPr="004B18CC" w:rsidRDefault="003212CC" w:rsidP="003212CC">
      <w:pPr>
        <w:pStyle w:val="SingleTxtG"/>
        <w:rPr>
          <w:spacing w:val="-2"/>
          <w:lang w:val="es-ES_tradnl"/>
        </w:rPr>
      </w:pPr>
      <w:r w:rsidRPr="004B18CC">
        <w:rPr>
          <w:spacing w:val="-2"/>
          <w:lang w:val="es-ES_tradnl"/>
        </w:rPr>
        <w:t>2.22</w:t>
      </w:r>
      <w:r w:rsidRPr="004B18CC">
        <w:rPr>
          <w:spacing w:val="-2"/>
          <w:lang w:val="es-ES_tradnl"/>
        </w:rPr>
        <w:tab/>
        <w:t xml:space="preserve">Con base en la resolución mencionada, el 29 de junio de 2015, el Juzgado de Distrito de Amparo en Materia Penal resolvió el juicio de Amparo Indirecto determinando que el Juez Noveno Penal del Distrito Federal violó el derecho del autor contenido en el artículo 20 de la Constitución, ya que no se notificó a su representante legal la sentencia emitida en su contra. Además, le ordenó dejar insubsistente el proveído en que se determinó que la sentencia definitiva causó ejecutoria y ordenó también que se notificara a su representante legal. </w:t>
      </w:r>
    </w:p>
    <w:p w:rsidR="003212CC" w:rsidRDefault="003212CC" w:rsidP="003212CC">
      <w:pPr>
        <w:pStyle w:val="SingleTxtG"/>
        <w:rPr>
          <w:lang w:val="es-ES_tradnl"/>
        </w:rPr>
      </w:pPr>
      <w:r>
        <w:rPr>
          <w:lang w:val="es-ES_tradnl"/>
        </w:rPr>
        <w:t>2.23</w:t>
      </w:r>
      <w:r>
        <w:rPr>
          <w:lang w:val="es-ES_tradnl"/>
        </w:rPr>
        <w:tab/>
        <w:t>El autor</w:t>
      </w:r>
      <w:r w:rsidRPr="00C64913">
        <w:rPr>
          <w:lang w:val="es-ES_tradnl"/>
        </w:rPr>
        <w:t xml:space="preserve"> </w:t>
      </w:r>
      <w:r>
        <w:rPr>
          <w:lang w:val="es-ES_tradnl"/>
        </w:rPr>
        <w:t>solicitó un beneficio penitenciario de remisión parcial de la pena ante los</w:t>
      </w:r>
      <w:r w:rsidRPr="00841760">
        <w:rPr>
          <w:lang w:val="es-ES_tradnl"/>
        </w:rPr>
        <w:t xml:space="preserve"> Juzgados de</w:t>
      </w:r>
      <w:r>
        <w:rPr>
          <w:lang w:val="es-ES_tradnl"/>
        </w:rPr>
        <w:t xml:space="preserve"> Ejecución de Sanciones Penales </w:t>
      </w:r>
      <w:r w:rsidRPr="00841760">
        <w:rPr>
          <w:lang w:val="es-ES_tradnl"/>
        </w:rPr>
        <w:t>en el Distrito F</w:t>
      </w:r>
      <w:r>
        <w:rPr>
          <w:lang w:val="es-ES_tradnl"/>
        </w:rPr>
        <w:t xml:space="preserve">ederal, basándose en los trabajos que había realizado en el </w:t>
      </w:r>
      <w:r w:rsidRPr="00344060">
        <w:rPr>
          <w:lang w:val="es-ES_tradnl"/>
        </w:rPr>
        <w:t>CEVAREPSI</w:t>
      </w:r>
      <w:r>
        <w:rPr>
          <w:lang w:val="es-ES_tradnl"/>
        </w:rPr>
        <w:t>, con el objetivo de obtener su libertad de manera anticipada</w:t>
      </w:r>
      <w:r>
        <w:rPr>
          <w:rStyle w:val="Refdenotaalpie"/>
          <w:lang w:val="es-ES_tradnl"/>
        </w:rPr>
        <w:footnoteReference w:id="12"/>
      </w:r>
      <w:r>
        <w:rPr>
          <w:lang w:val="es-ES_tradnl"/>
        </w:rPr>
        <w:t>. La juez</w:t>
      </w:r>
      <w:r w:rsidR="00C67ADE">
        <w:rPr>
          <w:lang w:val="es-ES_tradnl"/>
        </w:rPr>
        <w:t>a</w:t>
      </w:r>
      <w:r>
        <w:rPr>
          <w:lang w:val="es-ES_tradnl"/>
        </w:rPr>
        <w:t xml:space="preserve"> solicitó al autor realizar precisiones por entender que la petición no se ajustaba a los requisitos establecidos en la ley. Ante ello, el autor consideró que su solicitud de remisión parcial de la pena podría ser denegada y que un litigio sobre su derecho a acceder a dicha remisión finalizaría cuando ya hubiese cumplido la pena en su totalidad. </w:t>
      </w:r>
      <w:r w:rsidR="00C67ADE">
        <w:rPr>
          <w:lang w:val="es-ES_tradnl"/>
        </w:rPr>
        <w:t>E</w:t>
      </w:r>
      <w:r>
        <w:rPr>
          <w:lang w:val="es-ES_tradnl"/>
        </w:rPr>
        <w:t>l autor</w:t>
      </w:r>
      <w:r w:rsidR="00C67ADE">
        <w:rPr>
          <w:lang w:val="es-ES_tradnl"/>
        </w:rPr>
        <w:t xml:space="preserve"> entonces</w:t>
      </w:r>
      <w:r>
        <w:rPr>
          <w:lang w:val="es-ES_tradnl"/>
        </w:rPr>
        <w:t xml:space="preserve"> decidió solicitar la medida de </w:t>
      </w:r>
      <w:proofErr w:type="spellStart"/>
      <w:r>
        <w:rPr>
          <w:lang w:val="es-ES_tradnl"/>
        </w:rPr>
        <w:t>externamiento</w:t>
      </w:r>
      <w:proofErr w:type="spellEnd"/>
      <w:r>
        <w:rPr>
          <w:lang w:val="es-ES_tradnl"/>
        </w:rPr>
        <w:t xml:space="preserve"> para personas con discapacidad psicosocial, </w:t>
      </w:r>
      <w:r w:rsidRPr="0035554F">
        <w:rPr>
          <w:lang w:val="es-ES_tradnl"/>
        </w:rPr>
        <w:t>regulada por el artículo 55 de la Ley de Ejecución</w:t>
      </w:r>
      <w:r>
        <w:rPr>
          <w:rStyle w:val="Refdenotaalpie"/>
          <w:lang w:val="es-ES_tradnl"/>
        </w:rPr>
        <w:footnoteReference w:id="13"/>
      </w:r>
      <w:r>
        <w:rPr>
          <w:lang w:val="es-ES_tradnl"/>
        </w:rPr>
        <w:t>. No obstante, con base en los informes médicos realizados por el Consejo Técnico del CEVAREPSI, la juez</w:t>
      </w:r>
      <w:r w:rsidR="00C67ADE">
        <w:rPr>
          <w:lang w:val="es-ES_tradnl"/>
        </w:rPr>
        <w:t>a</w:t>
      </w:r>
      <w:r>
        <w:rPr>
          <w:lang w:val="es-ES_tradnl"/>
        </w:rPr>
        <w:t xml:space="preserve"> denegó al autor su solicitud, por carecer de una perspectiva suficiente de rehabilitación. </w:t>
      </w:r>
    </w:p>
    <w:p w:rsidR="003212CC" w:rsidRPr="00E6705B" w:rsidRDefault="003212CC" w:rsidP="003212CC">
      <w:pPr>
        <w:pStyle w:val="SingleTxtG"/>
        <w:rPr>
          <w:lang w:val="es-ES_tradnl"/>
        </w:rPr>
      </w:pPr>
      <w:r>
        <w:rPr>
          <w:lang w:val="es-ES_tradnl"/>
        </w:rPr>
        <w:t>2.24</w:t>
      </w:r>
      <w:r>
        <w:rPr>
          <w:lang w:val="es-ES_tradnl"/>
        </w:rPr>
        <w:tab/>
        <w:t xml:space="preserve">El autor alega que fue excluido del proceso penal llevado en su contra. En este sentido, recuerda que no fue notificado de las resoluciones ni de la sentencia definitiva dictada y que, por ende, no pudo apelar la sentencia de primera instancia dictada en su contra, ni pudo recurrir al juicio de amparo directo, ya que éste requiere que se haya apelado previamente la sentencia. El autor solicitó que se hiciera una excepción en la aplicación de esta regla, tomando en cuenta que </w:t>
      </w:r>
      <w:r w:rsidRPr="00FD74CD">
        <w:rPr>
          <w:lang w:val="es-ES_tradnl"/>
        </w:rPr>
        <w:t xml:space="preserve">la misma legislación penal y las prácticas judiciales lo habían colocado en </w:t>
      </w:r>
      <w:r>
        <w:rPr>
          <w:lang w:val="es-ES_tradnl"/>
        </w:rPr>
        <w:t>esta</w:t>
      </w:r>
      <w:r w:rsidRPr="00FD74CD">
        <w:rPr>
          <w:lang w:val="es-ES_tradnl"/>
        </w:rPr>
        <w:t xml:space="preserve"> situación de indefensión por no </w:t>
      </w:r>
      <w:r>
        <w:rPr>
          <w:lang w:val="es-ES_tradnl"/>
        </w:rPr>
        <w:t>reconocer</w:t>
      </w:r>
      <w:r w:rsidRPr="00FD74CD">
        <w:rPr>
          <w:lang w:val="es-ES_tradnl"/>
        </w:rPr>
        <w:t xml:space="preserve"> su capacidad jurídica.</w:t>
      </w:r>
    </w:p>
    <w:p w:rsidR="003212CC" w:rsidRPr="0029628D" w:rsidRDefault="003212CC" w:rsidP="003212CC">
      <w:pPr>
        <w:pStyle w:val="H23G"/>
      </w:pPr>
      <w:r>
        <w:lastRenderedPageBreak/>
        <w:tab/>
      </w:r>
      <w:r>
        <w:tab/>
      </w:r>
      <w:r w:rsidRPr="0029628D">
        <w:t>La denuncia</w:t>
      </w:r>
    </w:p>
    <w:p w:rsidR="003212CC" w:rsidRPr="0029628D" w:rsidRDefault="003212CC" w:rsidP="003212CC">
      <w:pPr>
        <w:pStyle w:val="SingleTxtG"/>
      </w:pPr>
      <w:r w:rsidRPr="0029628D">
        <w:t>3.1</w:t>
      </w:r>
      <w:r w:rsidRPr="0029628D">
        <w:tab/>
        <w:t>El autor sostiene que el Estado parte violó los derechos que le asisten en virtud de los artículos 5</w:t>
      </w:r>
      <w:r>
        <w:t xml:space="preserve">; 12; 13; 14 y 19 leídos conjuntamente con el artículo 4 de </w:t>
      </w:r>
      <w:r w:rsidRPr="0029628D">
        <w:t>la Convención.</w:t>
      </w:r>
    </w:p>
    <w:p w:rsidR="003212CC" w:rsidRPr="004C3193" w:rsidRDefault="003212CC" w:rsidP="003212CC">
      <w:pPr>
        <w:pStyle w:val="SingleTxtG"/>
      </w:pPr>
      <w:r w:rsidRPr="004C3193">
        <w:t>3.2</w:t>
      </w:r>
      <w:r w:rsidRPr="004C3193">
        <w:tab/>
        <w:t xml:space="preserve">El autor sostiene que al no haber sido juzgado en igualdad de condiciones </w:t>
      </w:r>
      <w:r>
        <w:t>con las demás personas</w:t>
      </w:r>
      <w:r w:rsidRPr="004C3193">
        <w:t xml:space="preserve"> por haber sido considerado como inimputable y sometido al Procedimiento Especial para Inimputables, fue víctima de discriminación en razón de su discapacidad. </w:t>
      </w:r>
      <w:r>
        <w:t>Alega que q</w:t>
      </w:r>
      <w:r w:rsidRPr="004C3193">
        <w:t>uedó excluido del proceso penal</w:t>
      </w:r>
      <w:r>
        <w:t xml:space="preserve">, y </w:t>
      </w:r>
      <w:r w:rsidRPr="004C3193">
        <w:t xml:space="preserve">no tuvo la oportunidad de ser juzgado por un </w:t>
      </w:r>
      <w:r>
        <w:t>tribunal competente e imparcial, que no tuv</w:t>
      </w:r>
      <w:r w:rsidRPr="004C3193">
        <w:t xml:space="preserve">o la oportunidad de estar presente en su juicio, </w:t>
      </w:r>
      <w:r>
        <w:t xml:space="preserve">aportar pruebas para su defensa, </w:t>
      </w:r>
      <w:r w:rsidRPr="004C3193">
        <w:t>escoger a la defensa de su elección</w:t>
      </w:r>
      <w:r>
        <w:t>, ni</w:t>
      </w:r>
      <w:r w:rsidRPr="004C3193">
        <w:t xml:space="preserve"> acceder a los recursos ordinarios previstos por la legislación penal, en particular el recurso de apelación. </w:t>
      </w:r>
      <w:r>
        <w:t>E</w:t>
      </w:r>
      <w:r w:rsidRPr="004C3193">
        <w:t xml:space="preserve">l autor </w:t>
      </w:r>
      <w:r>
        <w:t xml:space="preserve">también </w:t>
      </w:r>
      <w:r w:rsidRPr="004C3193">
        <w:t>sostiene que la “medida de seguridad” que le fue impuesta es discriminatoria</w:t>
      </w:r>
      <w:r>
        <w:t>. N</w:t>
      </w:r>
      <w:r w:rsidRPr="004C3193">
        <w:t>o se trata únicamente de una sanción penal sino también de un tratamiento médico-psiquiátrico</w:t>
      </w:r>
      <w:r>
        <w:t xml:space="preserve"> al cual fue sometido involuntariamente</w:t>
      </w:r>
      <w:r w:rsidRPr="004C3193">
        <w:t xml:space="preserve"> por ser considerado </w:t>
      </w:r>
      <w:r w:rsidR="00C67ADE">
        <w:t>“</w:t>
      </w:r>
      <w:r w:rsidRPr="004C3193">
        <w:t>un peligro</w:t>
      </w:r>
      <w:r w:rsidR="00C67ADE">
        <w:t>”</w:t>
      </w:r>
      <w:r w:rsidRPr="004C3193">
        <w:t xml:space="preserve"> para la sociedad. </w:t>
      </w:r>
      <w:r>
        <w:t>P</w:t>
      </w:r>
      <w:r w:rsidRPr="004C3193">
        <w:t>or ser una persona con discapacidad</w:t>
      </w:r>
      <w:r>
        <w:t xml:space="preserve">, no pudo acceder </w:t>
      </w:r>
      <w:r w:rsidRPr="004C3193">
        <w:t xml:space="preserve">al beneficio de libertad anticipada a pesar de cumplir con los requisitos </w:t>
      </w:r>
      <w:r>
        <w:t>legales aplicables</w:t>
      </w:r>
      <w:r w:rsidRPr="004C3193">
        <w:t xml:space="preserve">. </w:t>
      </w:r>
      <w:r>
        <w:t>También alega</w:t>
      </w:r>
      <w:r w:rsidRPr="004C3193">
        <w:t xml:space="preserve"> </w:t>
      </w:r>
      <w:r>
        <w:t xml:space="preserve">que </w:t>
      </w:r>
      <w:r w:rsidRPr="004C3193">
        <w:t xml:space="preserve">el Estado </w:t>
      </w:r>
      <w:r>
        <w:t>incumplió</w:t>
      </w:r>
      <w:r w:rsidRPr="004C3193">
        <w:t xml:space="preserve"> su obligación de implementar los ajustes razonables necesarios </w:t>
      </w:r>
      <w:r>
        <w:t>que</w:t>
      </w:r>
      <w:r w:rsidRPr="004C3193">
        <w:t xml:space="preserve"> fueron solicitados</w:t>
      </w:r>
      <w:r w:rsidR="00C67ADE">
        <w:t>, así como</w:t>
      </w:r>
      <w:r w:rsidRPr="004C3193">
        <w:t xml:space="preserve"> sus obligaciones de modificar y derogar la legislación que alienta la discriminación en contra de las personas con discapacidad</w:t>
      </w:r>
      <w:r>
        <w:t xml:space="preserve">, en </w:t>
      </w:r>
      <w:r w:rsidRPr="004C3193">
        <w:t xml:space="preserve">violación </w:t>
      </w:r>
      <w:r>
        <w:t>de</w:t>
      </w:r>
      <w:r w:rsidRPr="004C3193">
        <w:t>l artículo 5</w:t>
      </w:r>
      <w:r>
        <w:t>, leído solo y conjuntamente con el</w:t>
      </w:r>
      <w:r w:rsidRPr="004C3193">
        <w:t xml:space="preserve"> artículo 4 de la Convención. </w:t>
      </w:r>
    </w:p>
    <w:p w:rsidR="003212CC" w:rsidRDefault="003212CC" w:rsidP="003212CC">
      <w:pPr>
        <w:pStyle w:val="SingleTxtG"/>
      </w:pPr>
      <w:r w:rsidRPr="006553C2">
        <w:t>3.3</w:t>
      </w:r>
      <w:r w:rsidRPr="006553C2">
        <w:tab/>
        <w:t xml:space="preserve">En lo que </w:t>
      </w:r>
      <w:r>
        <w:t>respecta a la violación del artículo</w:t>
      </w:r>
      <w:r w:rsidRPr="006553C2">
        <w:t xml:space="preserve"> 9</w:t>
      </w:r>
      <w:r>
        <w:t xml:space="preserve"> leído solo y conjuntamente con el artículo</w:t>
      </w:r>
      <w:r w:rsidRPr="006553C2">
        <w:t xml:space="preserve"> 4</w:t>
      </w:r>
      <w:r>
        <w:t xml:space="preserve"> de la Convención</w:t>
      </w:r>
      <w:r w:rsidRPr="006553C2">
        <w:t>, el autor sostiene que e</w:t>
      </w:r>
      <w:r>
        <w:t xml:space="preserve">l Estado parte ha incumplido su </w:t>
      </w:r>
      <w:r w:rsidRPr="006553C2">
        <w:t>obligación de garantizar</w:t>
      </w:r>
      <w:r>
        <w:t>le</w:t>
      </w:r>
      <w:r w:rsidRPr="006553C2">
        <w:t xml:space="preserve"> la accesibilidad a la información durante los procesos judiciales. </w:t>
      </w:r>
      <w:r>
        <w:t>E</w:t>
      </w:r>
      <w:r w:rsidRPr="006553C2">
        <w:t xml:space="preserve">n la actualidad, </w:t>
      </w:r>
      <w:r w:rsidRPr="00EA14B1">
        <w:t>no existe información accesible para las personas con discapacidad sobre el curso de un proceso penal y sobre el contenido de las leyes penales</w:t>
      </w:r>
      <w:r w:rsidRPr="006553C2">
        <w:t xml:space="preserve">. </w:t>
      </w:r>
      <w:r w:rsidR="00C67ADE">
        <w:t>S</w:t>
      </w:r>
      <w:r>
        <w:t xml:space="preserve">eñala </w:t>
      </w:r>
      <w:r w:rsidRPr="006553C2">
        <w:t xml:space="preserve">que el Estado parte no ha adoptado las medidas legislativas, administrativas, ni de otra índole, para asegurar la accesibilidad </w:t>
      </w:r>
      <w:r>
        <w:t>de</w:t>
      </w:r>
      <w:r w:rsidRPr="006553C2">
        <w:t xml:space="preserve"> la información de los procesos penales que enfrentan las personas con discapacidad, y la comunicación entre inculpados y el sistema, puesto que</w:t>
      </w:r>
      <w:r>
        <w:t>, como sucedió en su caso,</w:t>
      </w:r>
      <w:r w:rsidRPr="006553C2">
        <w:t xml:space="preserve"> se les niega el derecho a encontrase presentes en su juicio.</w:t>
      </w:r>
    </w:p>
    <w:p w:rsidR="003212CC" w:rsidRDefault="003212CC" w:rsidP="003212CC">
      <w:pPr>
        <w:pStyle w:val="SingleTxtG"/>
      </w:pPr>
      <w:r>
        <w:t>3.4</w:t>
      </w:r>
      <w:r>
        <w:tab/>
        <w:t xml:space="preserve">El autor sostiene que el Estado parte vulneró el artículo 12 leído conjuntamente con el artículo 4 de la Convención, al no reconocer su capacidad jurídica. </w:t>
      </w:r>
      <w:r w:rsidR="00C67ADE">
        <w:t>A</w:t>
      </w:r>
      <w:r>
        <w:t>lega que al haber sido c</w:t>
      </w:r>
      <w:r w:rsidRPr="00994F9E">
        <w:t>onsiderado inimputable y no apto para declarar</w:t>
      </w:r>
      <w:r>
        <w:t xml:space="preserve">, se vulneraron sus garantías procesales. Concluye que la legislación penal vigente y las prácticas judiciales permiten la exclusión del proceso penal de las personas con discapacidad por </w:t>
      </w:r>
      <w:r w:rsidR="00C67ADE">
        <w:t xml:space="preserve">considerarlas </w:t>
      </w:r>
      <w:r>
        <w:t xml:space="preserve">no </w:t>
      </w:r>
      <w:r w:rsidR="00C67ADE">
        <w:t xml:space="preserve">aptas </w:t>
      </w:r>
      <w:r>
        <w:t xml:space="preserve">para enfrentarlo. </w:t>
      </w:r>
    </w:p>
    <w:p w:rsidR="003212CC" w:rsidRDefault="003212CC" w:rsidP="003212CC">
      <w:pPr>
        <w:pStyle w:val="SingleTxtG"/>
        <w:rPr>
          <w:lang w:val="es-ES_tradnl"/>
        </w:rPr>
      </w:pPr>
      <w:r>
        <w:t>3.5</w:t>
      </w:r>
      <w:r>
        <w:tab/>
        <w:t xml:space="preserve"> </w:t>
      </w:r>
      <w:r>
        <w:rPr>
          <w:lang w:val="es-ES_tradnl"/>
        </w:rPr>
        <w:t xml:space="preserve">El autor alega que su exclusión del proceso penal resultó en una </w:t>
      </w:r>
      <w:r w:rsidRPr="00702765">
        <w:rPr>
          <w:lang w:val="es-ES_tradnl"/>
        </w:rPr>
        <w:t>violación del ar</w:t>
      </w:r>
      <w:r>
        <w:rPr>
          <w:lang w:val="es-ES_tradnl"/>
        </w:rPr>
        <w:t xml:space="preserve">tículo 13 leído conjuntamente con el artículo 4 de la Convención. </w:t>
      </w:r>
      <w:r w:rsidR="00C67ADE">
        <w:rPr>
          <w:lang w:val="es-ES_tradnl"/>
        </w:rPr>
        <w:t>También</w:t>
      </w:r>
      <w:r>
        <w:rPr>
          <w:lang w:val="es-ES_tradnl"/>
        </w:rPr>
        <w:t xml:space="preserve"> menciona que </w:t>
      </w:r>
      <w:r w:rsidRPr="00974AA0">
        <w:rPr>
          <w:lang w:val="es-ES_tradnl"/>
        </w:rPr>
        <w:t>el centro de ejecución de sanciones penales</w:t>
      </w:r>
      <w:r>
        <w:rPr>
          <w:lang w:val="es-ES_tradnl"/>
        </w:rPr>
        <w:t>,</w:t>
      </w:r>
      <w:r w:rsidRPr="00974AA0">
        <w:rPr>
          <w:lang w:val="es-ES_tradnl"/>
        </w:rPr>
        <w:t xml:space="preserve"> donde</w:t>
      </w:r>
      <w:r>
        <w:rPr>
          <w:lang w:val="es-ES_tradnl"/>
        </w:rPr>
        <w:t xml:space="preserve"> </w:t>
      </w:r>
      <w:r w:rsidRPr="00974AA0">
        <w:rPr>
          <w:lang w:val="es-ES_tradnl"/>
        </w:rPr>
        <w:t>se encuentra privado de la libertad</w:t>
      </w:r>
      <w:r>
        <w:rPr>
          <w:lang w:val="es-ES_tradnl"/>
        </w:rPr>
        <w:t>,</w:t>
      </w:r>
      <w:r w:rsidRPr="00974AA0">
        <w:rPr>
          <w:lang w:val="es-ES_tradnl"/>
        </w:rPr>
        <w:t xml:space="preserve"> </w:t>
      </w:r>
      <w:r>
        <w:rPr>
          <w:lang w:val="es-ES_tradnl"/>
        </w:rPr>
        <w:t xml:space="preserve">no cuenta con un área que permita una </w:t>
      </w:r>
      <w:r w:rsidRPr="00974AA0">
        <w:rPr>
          <w:lang w:val="es-ES_tradnl"/>
        </w:rPr>
        <w:t>comunicación privada</w:t>
      </w:r>
      <w:r>
        <w:rPr>
          <w:lang w:val="es-ES_tradnl"/>
        </w:rPr>
        <w:t xml:space="preserve"> entre los internos y su defensor. </w:t>
      </w:r>
      <w:r w:rsidR="00C67ADE">
        <w:rPr>
          <w:lang w:val="es-ES_tradnl"/>
        </w:rPr>
        <w:t>A</w:t>
      </w:r>
      <w:r>
        <w:rPr>
          <w:lang w:val="es-ES_tradnl"/>
        </w:rPr>
        <w:t xml:space="preserve">firma que nunca le leyeron los documentos relacionados con los procedimientos judiciales que tuvieron lugar en su caso, ni se le dio acceso a </w:t>
      </w:r>
      <w:r w:rsidRPr="003B3691">
        <w:rPr>
          <w:lang w:val="es-ES_tradnl"/>
        </w:rPr>
        <w:t xml:space="preserve">una versión en lenguaje sencillo </w:t>
      </w:r>
      <w:r>
        <w:rPr>
          <w:lang w:val="es-ES_tradnl"/>
        </w:rPr>
        <w:t xml:space="preserve">de los mismos que le habría permitido entenderles mejor. Tampoco se adoptaron las medidas de ajuste que necesita para expresarse. </w:t>
      </w:r>
    </w:p>
    <w:p w:rsidR="004A331F" w:rsidRDefault="003212CC" w:rsidP="004A331F">
      <w:pPr>
        <w:pStyle w:val="SingleTxtG"/>
        <w:rPr>
          <w:lang w:val="es-ES_tradnl"/>
        </w:rPr>
      </w:pPr>
      <w:r>
        <w:rPr>
          <w:lang w:val="es-ES_tradnl"/>
        </w:rPr>
        <w:t>3.6</w:t>
      </w:r>
      <w:r>
        <w:rPr>
          <w:lang w:val="es-ES_tradnl"/>
        </w:rPr>
        <w:tab/>
        <w:t xml:space="preserve">El autor alega que la imposición de la medida de seguridad de internamiento, de carácter provisional, para recibir tratamiento médico desde su detención, así como la medida de seguridad de internamiento impuesta al haberse determinado su responsabilidad por el delito de robo, constituyen una violación al artículo 14 leído conjuntamente con el artículo 4 de la Convención. Considera que fue juzgado sin contar con garantías procesales. También se refiere a las observaciones finales del Comité de septiembre de 2014, en las que expresó </w:t>
      </w:r>
      <w:r w:rsidRPr="003B3691">
        <w:rPr>
          <w:lang w:val="es-ES_tradnl"/>
        </w:rPr>
        <w:t>su preocupación por el sometimiento de las personas con discapacidad a la figura de la inimputabilidad y la ausencia de garantías procesales cuando son juzgadas</w:t>
      </w:r>
      <w:r>
        <w:rPr>
          <w:lang w:val="es-ES_tradnl"/>
        </w:rPr>
        <w:t xml:space="preserve"> y solicitó al Estado parte </w:t>
      </w:r>
      <w:r w:rsidRPr="003B3691">
        <w:rPr>
          <w:lang w:val="es-ES_tradnl"/>
        </w:rPr>
        <w:t xml:space="preserve">que </w:t>
      </w:r>
      <w:r>
        <w:rPr>
          <w:lang w:val="es-ES_tradnl"/>
        </w:rPr>
        <w:t>derogara</w:t>
      </w:r>
      <w:r w:rsidRPr="003B3691">
        <w:rPr>
          <w:lang w:val="es-ES_tradnl"/>
        </w:rPr>
        <w:t xml:space="preserve"> las medidas de seguridad consistentes en</w:t>
      </w:r>
      <w:r>
        <w:rPr>
          <w:lang w:val="es-ES_tradnl"/>
        </w:rPr>
        <w:t xml:space="preserve"> un tratamiento médico-</w:t>
      </w:r>
      <w:r w:rsidRPr="004A331F">
        <w:t>forzoso</w:t>
      </w:r>
      <w:r>
        <w:rPr>
          <w:lang w:val="es-ES_tradnl"/>
        </w:rPr>
        <w:t xml:space="preserve">. </w:t>
      </w:r>
    </w:p>
    <w:p w:rsidR="003212CC" w:rsidRDefault="003212CC" w:rsidP="004A331F">
      <w:pPr>
        <w:pStyle w:val="SingleTxtG"/>
        <w:rPr>
          <w:lang w:val="es-ES_tradnl"/>
        </w:rPr>
      </w:pPr>
      <w:r>
        <w:rPr>
          <w:lang w:val="es-ES_tradnl"/>
        </w:rPr>
        <w:t>3.7</w:t>
      </w:r>
      <w:r>
        <w:rPr>
          <w:lang w:val="es-ES_tradnl"/>
        </w:rPr>
        <w:tab/>
        <w:t xml:space="preserve">El autor sostiene que </w:t>
      </w:r>
      <w:r w:rsidRPr="00186ACB">
        <w:rPr>
          <w:lang w:val="es-ES_tradnl"/>
        </w:rPr>
        <w:t>la legislación penal vigente</w:t>
      </w:r>
      <w:r>
        <w:rPr>
          <w:lang w:val="es-ES_tradnl"/>
        </w:rPr>
        <w:t xml:space="preserve"> viola el artículo 19 leído conjuntamente con el artículo 4 ya que establece que las personas declaradas inimputables </w:t>
      </w:r>
      <w:r w:rsidRPr="00186ACB">
        <w:rPr>
          <w:lang w:val="es-ES_tradnl"/>
        </w:rPr>
        <w:t>deben ser “entregad</w:t>
      </w:r>
      <w:r>
        <w:rPr>
          <w:lang w:val="es-ES_tradnl"/>
        </w:rPr>
        <w:t>a</w:t>
      </w:r>
      <w:r w:rsidRPr="00186ACB">
        <w:rPr>
          <w:lang w:val="es-ES_tradnl"/>
        </w:rPr>
        <w:t>s” a la persona que legalmente debe hacerse cargo de ellas.</w:t>
      </w:r>
      <w:r>
        <w:rPr>
          <w:lang w:val="es-ES_tradnl"/>
        </w:rPr>
        <w:t xml:space="preserve"> Así, cuando el autor cumpla su condena, su madre </w:t>
      </w:r>
      <w:r w:rsidRPr="00186ACB">
        <w:rPr>
          <w:lang w:val="es-ES_tradnl"/>
        </w:rPr>
        <w:t xml:space="preserve">deberá comparecer en las instalaciones del CEVAREPSI para </w:t>
      </w:r>
      <w:r>
        <w:rPr>
          <w:lang w:val="es-ES_tradnl"/>
        </w:rPr>
        <w:t>que se le conceda su</w:t>
      </w:r>
      <w:r w:rsidRPr="00186ACB">
        <w:rPr>
          <w:lang w:val="es-ES_tradnl"/>
        </w:rPr>
        <w:t xml:space="preserve"> libertad.</w:t>
      </w:r>
      <w:r w:rsidR="0024508D">
        <w:rPr>
          <w:lang w:val="es-ES_tradnl"/>
        </w:rPr>
        <w:t xml:space="preserve"> </w:t>
      </w:r>
      <w:r>
        <w:rPr>
          <w:lang w:val="es-ES_tradnl"/>
        </w:rPr>
        <w:t xml:space="preserve">De no cumplir con dicha condición, el autor no podrá </w:t>
      </w:r>
      <w:r w:rsidRPr="00186ACB">
        <w:rPr>
          <w:lang w:val="es-ES_tradnl"/>
        </w:rPr>
        <w:t>ser puesto en libertad.</w:t>
      </w:r>
      <w:r>
        <w:rPr>
          <w:lang w:val="es-ES_tradnl"/>
        </w:rPr>
        <w:t xml:space="preserve"> El autor sostiene que al habérsele denegado poder obtener el </w:t>
      </w:r>
      <w:r>
        <w:rPr>
          <w:lang w:val="es-ES_tradnl"/>
        </w:rPr>
        <w:lastRenderedPageBreak/>
        <w:t xml:space="preserve">beneficio de libertad anticipada, el Estado parte </w:t>
      </w:r>
      <w:r w:rsidRPr="00186ACB">
        <w:rPr>
          <w:lang w:val="es-ES_tradnl"/>
        </w:rPr>
        <w:t xml:space="preserve">no </w:t>
      </w:r>
      <w:r>
        <w:rPr>
          <w:lang w:val="es-ES_tradnl"/>
        </w:rPr>
        <w:t>le ha permitido acceder a servicios de la comunidad que permitiera</w:t>
      </w:r>
      <w:r w:rsidR="00226EF4">
        <w:rPr>
          <w:lang w:val="es-ES_tradnl"/>
        </w:rPr>
        <w:t>n</w:t>
      </w:r>
      <w:r>
        <w:rPr>
          <w:lang w:val="es-ES_tradnl"/>
        </w:rPr>
        <w:t xml:space="preserve"> su desarrollo e inclusión, así impidiendo que</w:t>
      </w:r>
      <w:r w:rsidRPr="00186ACB">
        <w:rPr>
          <w:lang w:val="es-ES_tradnl"/>
        </w:rPr>
        <w:t xml:space="preserve"> se cumpla </w:t>
      </w:r>
      <w:r>
        <w:rPr>
          <w:lang w:val="es-ES_tradnl"/>
        </w:rPr>
        <w:t xml:space="preserve">con </w:t>
      </w:r>
      <w:r w:rsidRPr="00186ACB">
        <w:rPr>
          <w:lang w:val="es-ES_tradnl"/>
        </w:rPr>
        <w:t>lo dispuesto e</w:t>
      </w:r>
      <w:r>
        <w:rPr>
          <w:lang w:val="es-ES_tradnl"/>
        </w:rPr>
        <w:t>n el artículo 19 de la Convención. Además, las personas con discapacidad que finalizan su condena en prisión presentan un</w:t>
      </w:r>
      <w:r w:rsidRPr="00186ACB">
        <w:rPr>
          <w:lang w:val="es-ES_tradnl"/>
        </w:rPr>
        <w:t xml:space="preserve"> doble estigma: </w:t>
      </w:r>
      <w:r>
        <w:rPr>
          <w:lang w:val="es-ES_tradnl"/>
        </w:rPr>
        <w:t xml:space="preserve">son </w:t>
      </w:r>
      <w:r w:rsidRPr="00186ACB">
        <w:rPr>
          <w:lang w:val="es-ES_tradnl"/>
        </w:rPr>
        <w:t>considerad</w:t>
      </w:r>
      <w:r>
        <w:rPr>
          <w:lang w:val="es-ES_tradnl"/>
        </w:rPr>
        <w:t>a</w:t>
      </w:r>
      <w:r w:rsidRPr="00186ACB">
        <w:rPr>
          <w:lang w:val="es-ES_tradnl"/>
        </w:rPr>
        <w:t>s “delincuentes”</w:t>
      </w:r>
      <w:r>
        <w:rPr>
          <w:lang w:val="es-ES_tradnl"/>
        </w:rPr>
        <w:t>, pero también</w:t>
      </w:r>
      <w:r w:rsidRPr="00186ACB">
        <w:rPr>
          <w:lang w:val="es-ES_tradnl"/>
        </w:rPr>
        <w:t xml:space="preserve"> “peligros</w:t>
      </w:r>
      <w:r>
        <w:rPr>
          <w:lang w:val="es-ES_tradnl"/>
        </w:rPr>
        <w:t>a</w:t>
      </w:r>
      <w:r w:rsidRPr="00186ACB">
        <w:rPr>
          <w:lang w:val="es-ES_tradnl"/>
        </w:rPr>
        <w:t>s” e “incapaces”.</w:t>
      </w:r>
    </w:p>
    <w:p w:rsidR="003212CC" w:rsidRPr="00DD5EB0" w:rsidRDefault="00BB2761" w:rsidP="003212CC">
      <w:pPr>
        <w:pStyle w:val="SingleTxtG"/>
        <w:rPr>
          <w:lang w:val="es-ES_tradnl"/>
        </w:rPr>
      </w:pPr>
      <w:r>
        <w:rPr>
          <w:lang w:val="es-ES_tradnl"/>
        </w:rPr>
        <w:t>3.8</w:t>
      </w:r>
      <w:r w:rsidR="003212CC">
        <w:rPr>
          <w:lang w:val="es-ES_tradnl"/>
        </w:rPr>
        <w:tab/>
        <w:t>El autor solicita que el Comité declare la violación de los artículos anteriormente señalados</w:t>
      </w:r>
      <w:r w:rsidR="00226EF4">
        <w:rPr>
          <w:lang w:val="es-ES_tradnl"/>
        </w:rPr>
        <w:t xml:space="preserve"> y</w:t>
      </w:r>
      <w:r w:rsidR="003212CC">
        <w:rPr>
          <w:lang w:val="es-ES_tradnl"/>
        </w:rPr>
        <w:t xml:space="preserve"> que: a</w:t>
      </w:r>
      <w:r w:rsidR="003212CC" w:rsidRPr="00DD5EB0">
        <w:rPr>
          <w:lang w:val="es-ES_tradnl"/>
        </w:rPr>
        <w:t xml:space="preserve">) </w:t>
      </w:r>
      <w:r w:rsidR="003212CC">
        <w:rPr>
          <w:lang w:val="es-ES_tradnl"/>
        </w:rPr>
        <w:t>se reconozca</w:t>
      </w:r>
      <w:r w:rsidR="0024508D">
        <w:rPr>
          <w:lang w:val="es-ES_tradnl"/>
        </w:rPr>
        <w:t xml:space="preserve"> </w:t>
      </w:r>
      <w:r w:rsidR="003212CC" w:rsidRPr="00DD5EB0">
        <w:rPr>
          <w:lang w:val="es-ES_tradnl"/>
        </w:rPr>
        <w:t>públicamente mediante medios de comunicación masivos que el Estado</w:t>
      </w:r>
      <w:r w:rsidR="003212CC">
        <w:rPr>
          <w:lang w:val="es-ES_tradnl"/>
        </w:rPr>
        <w:t xml:space="preserve"> parte</w:t>
      </w:r>
      <w:r w:rsidR="003212CC" w:rsidRPr="00DD5EB0">
        <w:rPr>
          <w:lang w:val="es-ES_tradnl"/>
        </w:rPr>
        <w:t xml:space="preserve"> violó </w:t>
      </w:r>
      <w:r w:rsidR="003212CC">
        <w:rPr>
          <w:lang w:val="es-ES_tradnl"/>
        </w:rPr>
        <w:t>su</w:t>
      </w:r>
      <w:r w:rsidR="003212CC" w:rsidRPr="00DD5EB0">
        <w:rPr>
          <w:lang w:val="es-ES_tradnl"/>
        </w:rPr>
        <w:t>s derechos</w:t>
      </w:r>
      <w:r w:rsidR="003212CC">
        <w:rPr>
          <w:lang w:val="es-ES_tradnl"/>
        </w:rPr>
        <w:t>; b)</w:t>
      </w:r>
      <w:r w:rsidR="003212CC" w:rsidRPr="00DD5EB0">
        <w:rPr>
          <w:lang w:val="es-ES_tradnl"/>
        </w:rPr>
        <w:t xml:space="preserve"> </w:t>
      </w:r>
      <w:r w:rsidR="003212CC">
        <w:rPr>
          <w:lang w:val="es-ES_tradnl"/>
        </w:rPr>
        <w:t>s</w:t>
      </w:r>
      <w:r w:rsidR="003212CC" w:rsidRPr="00DD5EB0">
        <w:rPr>
          <w:lang w:val="es-ES_tradnl"/>
        </w:rPr>
        <w:t xml:space="preserve">e </w:t>
      </w:r>
      <w:r w:rsidR="003212CC">
        <w:rPr>
          <w:lang w:val="es-ES_tradnl"/>
        </w:rPr>
        <w:t xml:space="preserve">le </w:t>
      </w:r>
      <w:r w:rsidR="003212CC" w:rsidRPr="00DD5EB0">
        <w:rPr>
          <w:lang w:val="es-ES_tradnl"/>
        </w:rPr>
        <w:t>ofrezca una disculpa pública</w:t>
      </w:r>
      <w:r w:rsidR="003212CC">
        <w:rPr>
          <w:lang w:val="es-ES_tradnl"/>
        </w:rPr>
        <w:t xml:space="preserve"> </w:t>
      </w:r>
      <w:r w:rsidR="003212CC" w:rsidRPr="00DD5EB0">
        <w:rPr>
          <w:lang w:val="es-ES_tradnl"/>
        </w:rPr>
        <w:t xml:space="preserve">por el Presidente del Tribunal Superior de Justicia del Distrito Federal y el Juez Noveno Penal en el Distrito Federal, así como </w:t>
      </w:r>
      <w:r w:rsidR="003212CC">
        <w:rPr>
          <w:lang w:val="es-ES_tradnl"/>
        </w:rPr>
        <w:t xml:space="preserve">por </w:t>
      </w:r>
      <w:r w:rsidR="003212CC" w:rsidRPr="00DD5EB0">
        <w:rPr>
          <w:lang w:val="es-ES_tradnl"/>
        </w:rPr>
        <w:t>el Secretario de Acuerdos encargado del despacho de su proceso penal, por haberlo consi</w:t>
      </w:r>
      <w:r w:rsidR="003212CC">
        <w:rPr>
          <w:lang w:val="es-ES_tradnl"/>
        </w:rPr>
        <w:t xml:space="preserve">derado como un sujeto ‘incapaz’ </w:t>
      </w:r>
      <w:r w:rsidR="003212CC" w:rsidRPr="00DD5EB0">
        <w:rPr>
          <w:lang w:val="es-ES_tradnl"/>
        </w:rPr>
        <w:t>y por condenarlo, sin permitirle gozar de las garant</w:t>
      </w:r>
      <w:r w:rsidR="003212CC">
        <w:rPr>
          <w:lang w:val="es-ES_tradnl"/>
        </w:rPr>
        <w:t xml:space="preserve">ías mínimas del debido proceso </w:t>
      </w:r>
      <w:r w:rsidR="003212CC" w:rsidRPr="00DD5EB0">
        <w:rPr>
          <w:lang w:val="es-ES_tradnl"/>
        </w:rPr>
        <w:t>y por la discriminación sistemática que sufrió durante su proce</w:t>
      </w:r>
      <w:r w:rsidR="003212CC">
        <w:rPr>
          <w:lang w:val="es-ES_tradnl"/>
        </w:rPr>
        <w:t>so; c) se otorgue u</w:t>
      </w:r>
      <w:r w:rsidR="003212CC" w:rsidRPr="00DD5EB0">
        <w:rPr>
          <w:lang w:val="es-ES_tradnl"/>
        </w:rPr>
        <w:t>na indemnización económica por el tiempo que ha estado privado de la libertad injustamente</w:t>
      </w:r>
      <w:r w:rsidR="003212CC">
        <w:rPr>
          <w:lang w:val="es-ES_tradnl"/>
        </w:rPr>
        <w:t>; d</w:t>
      </w:r>
      <w:r w:rsidR="003212CC" w:rsidRPr="00DD5EB0">
        <w:rPr>
          <w:lang w:val="es-ES_tradnl"/>
        </w:rPr>
        <w:t>)</w:t>
      </w:r>
      <w:r w:rsidR="003212CC">
        <w:rPr>
          <w:lang w:val="es-ES_tradnl"/>
        </w:rPr>
        <w:t xml:space="preserve"> se ordene d</w:t>
      </w:r>
      <w:r w:rsidR="003212CC" w:rsidRPr="00DD5EB0">
        <w:rPr>
          <w:lang w:val="es-ES_tradnl"/>
        </w:rPr>
        <w:t xml:space="preserve">iseñar un proyecto de vida para </w:t>
      </w:r>
      <w:r w:rsidR="003212CC">
        <w:rPr>
          <w:lang w:val="es-ES_tradnl"/>
        </w:rPr>
        <w:t xml:space="preserve">el autor </w:t>
      </w:r>
      <w:r w:rsidR="003212CC" w:rsidRPr="00DD5EB0">
        <w:rPr>
          <w:lang w:val="es-ES_tradnl"/>
        </w:rPr>
        <w:t xml:space="preserve">que, de acuerdo a los principios de la </w:t>
      </w:r>
      <w:r w:rsidR="003212CC">
        <w:rPr>
          <w:lang w:val="es-ES_tradnl"/>
        </w:rPr>
        <w:t>Convención,</w:t>
      </w:r>
      <w:r w:rsidR="003212CC" w:rsidRPr="00DD5EB0">
        <w:rPr>
          <w:lang w:val="es-ES_tradnl"/>
        </w:rPr>
        <w:t xml:space="preserve"> le permita acceder a educación inclusiva, actividades recreativas inclusivas, capacitación para el empleo y que se le garantice un empleo, dignamente remunerado, de acuerdo a su d</w:t>
      </w:r>
      <w:r w:rsidR="003212CC">
        <w:rPr>
          <w:lang w:val="es-ES_tradnl"/>
        </w:rPr>
        <w:t>eseo; e</w:t>
      </w:r>
      <w:r w:rsidR="003212CC" w:rsidRPr="00DD5EB0">
        <w:rPr>
          <w:lang w:val="es-ES_tradnl"/>
        </w:rPr>
        <w:t xml:space="preserve">) </w:t>
      </w:r>
      <w:r w:rsidR="003212CC">
        <w:rPr>
          <w:lang w:val="es-ES_tradnl"/>
        </w:rPr>
        <w:t>se adopten garantías de no repetición, entre otros, la modificación de la legislación vigente en relación a la figura del inimputable y del Procedimiento Especial para Inimputables, con la finalidad de armonizarla con la Convención; la prohibición del desconocimiento de la capacidad jurídica de las personas con discapacidad que enfrentan un proceso penal, mientras entra en vigor el Código Nacional de Procedimientos Penales; la realización de capacitaciones y campañas de sensibilización entre autoridades y funcionarios judiciales, defensores de oficio, agentes del Ministerio Público sobre los derechos de las personas con discapacidad.</w:t>
      </w:r>
    </w:p>
    <w:p w:rsidR="003212CC" w:rsidRPr="0029628D" w:rsidRDefault="003212CC" w:rsidP="003212CC">
      <w:pPr>
        <w:pStyle w:val="H23G"/>
      </w:pPr>
      <w:r>
        <w:tab/>
      </w:r>
      <w:r>
        <w:tab/>
      </w:r>
      <w:r w:rsidRPr="007E2066">
        <w:t>Observaciones del Estado parte sobre la admisibilidad y el fondo</w:t>
      </w:r>
    </w:p>
    <w:p w:rsidR="003212CC" w:rsidRPr="0029628D" w:rsidRDefault="003212CC" w:rsidP="003212CC">
      <w:pPr>
        <w:pStyle w:val="SingleTxtG"/>
      </w:pPr>
      <w:r w:rsidRPr="0029628D">
        <w:t>4.1</w:t>
      </w:r>
      <w:r w:rsidRPr="0029628D">
        <w:tab/>
        <w:t xml:space="preserve">El </w:t>
      </w:r>
      <w:r>
        <w:t>16 de noviembre de 2015</w:t>
      </w:r>
      <w:r w:rsidRPr="0029628D">
        <w:t>, el Estado parte presentó sus observaciones sobre la admisibilidad de la comunicación</w:t>
      </w:r>
      <w:r>
        <w:t xml:space="preserve"> y solicitó que el estudio de admisibilidad se llevara a cabo por separado del estudio de fondo de conformidad con el artículo 70.5 del Reglamento del Comité.</w:t>
      </w:r>
    </w:p>
    <w:p w:rsidR="003212CC" w:rsidRDefault="003212CC" w:rsidP="003212CC">
      <w:pPr>
        <w:pStyle w:val="SingleTxtG"/>
      </w:pPr>
      <w:r w:rsidRPr="0029628D">
        <w:t>4.2</w:t>
      </w:r>
      <w:r w:rsidRPr="0029628D">
        <w:tab/>
      </w:r>
      <w:r>
        <w:t xml:space="preserve">El Estado parte sostiene que la comunicación es inadmisible ya que el autor no agotó los recursos internos mientras tuvo pleno acceso a </w:t>
      </w:r>
      <w:r w:rsidR="00226EF4">
        <w:t>éstos</w:t>
      </w:r>
      <w:r>
        <w:t xml:space="preserve">. Además, las revisiones desarrolladas por los tribunales no permitieron establecer violación de los derechos humanos del autor. </w:t>
      </w:r>
      <w:r w:rsidR="00226EF4">
        <w:t>A</w:t>
      </w:r>
      <w:r>
        <w:t xml:space="preserve"> pesar de que el autor fue sujeto a un procedimiento especial para inimputables, el procedimiento no fue llevado de forma distinta por su discapacidad. Por el contrario, se le otorgaron las herramientas necesarias para facilitarle el seguimiento de su proceso, otorgándole el mismo derecho y capacidad jurídica que tiene cualquier persona frente a un procedimiento judicial. </w:t>
      </w:r>
    </w:p>
    <w:p w:rsidR="003212CC" w:rsidRDefault="003212CC" w:rsidP="003212CC">
      <w:pPr>
        <w:pStyle w:val="SingleTxtG"/>
      </w:pPr>
      <w:r w:rsidRPr="0029628D">
        <w:t>4.3</w:t>
      </w:r>
      <w:r w:rsidRPr="0029628D">
        <w:tab/>
      </w:r>
      <w:r>
        <w:t>El Estado parte sostiene que el autor no utilizó el recurso adecuado para subsanar sus pretensiones, ya que no apeló la sentencia</w:t>
      </w:r>
      <w:r w:rsidRPr="00C30784">
        <w:t xml:space="preserve"> </w:t>
      </w:r>
      <w:r>
        <w:t xml:space="preserve">de fecha 5 de diciembre de 2011. El recurso de amparo directo sólo es procedente al agotar los recursos de primera instancia que pongan fin al juicio, en este caso, el de apelación. </w:t>
      </w:r>
      <w:r w:rsidR="00226EF4">
        <w:t>E</w:t>
      </w:r>
      <w:r>
        <w:t>l autor intentó interponer tal amparo en contra de la sentencia del 5 de diciembre de 2011, a pesar de ser notoriamente improcedente. A pesar que la sentencia de 5 de diciembre de 2011 fue not</w:t>
      </w:r>
      <w:r w:rsidR="00BB2761">
        <w:t>ificada al autor a través de su</w:t>
      </w:r>
      <w:r>
        <w:t xml:space="preserve"> representante legal, de acuerdo a lo ordenado por el Juzgado Décimo Tercero de Distrito en el Juicio de Amparo Indirecto, el autor no interpuso el recurso de apelación correspondiente. Así el 5 de agosto de 2015, se tuvo por cumplida la ejecutoria de amparo por haberse restituido las pretensiones que el autor reclamó. Finalmente, no interpuso recurso de inconformidad en contra de la resolución del 5 de agosto de 2015 que tuvo por cumplida la ejecutoria de amparo, de conformidad con la ley de Amparo. </w:t>
      </w:r>
      <w:bookmarkStart w:id="1" w:name="_Ref349294843"/>
      <w:bookmarkEnd w:id="1"/>
    </w:p>
    <w:p w:rsidR="003212CC" w:rsidRDefault="003212CC" w:rsidP="003212CC">
      <w:pPr>
        <w:pStyle w:val="SingleTxtG"/>
      </w:pPr>
      <w:r>
        <w:t>4.4</w:t>
      </w:r>
      <w:r>
        <w:tab/>
        <w:t xml:space="preserve">Por lo tanto, el Estado parte solicita al Comité declarar inadmisible la presente comunicación por no agotamiento de los recursos internos y por ser manifiestamente infundada. </w:t>
      </w:r>
    </w:p>
    <w:p w:rsidR="003212CC" w:rsidRDefault="003212CC" w:rsidP="003212CC">
      <w:pPr>
        <w:pStyle w:val="SingleTxtG"/>
      </w:pPr>
      <w:r>
        <w:t>4.5</w:t>
      </w:r>
      <w:r>
        <w:tab/>
        <w:t xml:space="preserve">El 16 de marzo de 2016, el Estado parte presentó información adicional sobre la admisibilidad, </w:t>
      </w:r>
      <w:r w:rsidR="00FB07F3">
        <w:t>y</w:t>
      </w:r>
      <w:r>
        <w:t xml:space="preserve"> sus observaciones sobre el fondo de la comunicación. En relación a la admisibilidad, agregó que el autor no agotó los recursos internos en lo que se refiere a </w:t>
      </w:r>
      <w:r>
        <w:lastRenderedPageBreak/>
        <w:t xml:space="preserve">negación del juez de su solicitud para designar abogados particulares. En virtud que el autor, ante esta denegación, tuvo la oportunidad de interponer un incidente no especificado y en caso de no ser resuelto satisfactoriamente pudo interponer recurso de apelación, y a su vez, recurso de amparo indirecto. El Estado parte agrega que la madre del autor tampoco agotó los recursos internos disponibles. </w:t>
      </w:r>
    </w:p>
    <w:p w:rsidR="003212CC" w:rsidRDefault="003212CC" w:rsidP="003212CC">
      <w:pPr>
        <w:pStyle w:val="SingleTxtG"/>
      </w:pPr>
      <w:r>
        <w:t>4.6</w:t>
      </w:r>
      <w:r>
        <w:tab/>
        <w:t xml:space="preserve">En cuanto al fondo, el Estado parte señala que la determinación de sujetar al autor a un procedimiento especial para inimputables no se realizó al libre arbitrio de las autoridades competentes: estuvo basada en los certificados médicos aportados por los familiares del autor, los antecedentes clínicos, así como en los certificados médicos emitidos por especialistas en la materia. Todo ello fue realizado con el fin de analizar y establecer las medidas apropiadas para garantizar al autor el acceso a la justicia en igualdad de condiciones con los demás. </w:t>
      </w:r>
    </w:p>
    <w:p w:rsidR="003212CC" w:rsidRPr="0029628D" w:rsidRDefault="003212CC" w:rsidP="003212CC">
      <w:pPr>
        <w:pStyle w:val="SingleTxtG"/>
      </w:pPr>
      <w:r>
        <w:t>4.7</w:t>
      </w:r>
      <w:r>
        <w:tab/>
        <w:t xml:space="preserve">El Estado parte destaca que el internamiento de las personas con discapacidad se realiza para asegurar que tengan acceso a la justicia en igualdad de condiciones con los demás, incluso mediante ajustes de procedimiento. En el presente caso, los certificados entregados por los doctores y los antecedentes determinaron que el autor presentaba un trastorno antisocial de la personalidad y probable “retraso mental superficial”, por </w:t>
      </w:r>
      <w:r w:rsidRPr="002D252F">
        <w:t xml:space="preserve">lo que no era apto para declarar. </w:t>
      </w:r>
      <w:r>
        <w:t>S</w:t>
      </w:r>
      <w:r w:rsidRPr="002D252F">
        <w:t>iguiendo el curso del proceso, el juez de la causa determinó que el autor era socialmente responsable de la comisión del</w:t>
      </w:r>
      <w:r>
        <w:t xml:space="preserve"> delito de robo calificado y le internó en un lugar donde existiera la posibilidad de brindarle tratamiento adecuado durante 4 años. El Estado parte concluye que el internamiento en un establecimiento psiquiátrico y la asignación de un defensor público cumplían con los estándares reconocidos por la Convención y otros instrumentos jurídicos internacionales. </w:t>
      </w:r>
    </w:p>
    <w:p w:rsidR="003212CC" w:rsidRPr="004B18CC" w:rsidRDefault="003212CC" w:rsidP="003212CC">
      <w:pPr>
        <w:pStyle w:val="SingleTxtG"/>
        <w:rPr>
          <w:spacing w:val="-2"/>
        </w:rPr>
      </w:pPr>
      <w:r w:rsidRPr="004B18CC">
        <w:rPr>
          <w:spacing w:val="-2"/>
        </w:rPr>
        <w:t>4.</w:t>
      </w:r>
      <w:bookmarkStart w:id="2" w:name="_Ref349294776"/>
      <w:bookmarkEnd w:id="2"/>
      <w:r w:rsidRPr="004B18CC">
        <w:rPr>
          <w:spacing w:val="-2"/>
        </w:rPr>
        <w:t>8</w:t>
      </w:r>
      <w:r w:rsidRPr="004B18CC">
        <w:rPr>
          <w:spacing w:val="-2"/>
        </w:rPr>
        <w:tab/>
        <w:t xml:space="preserve">El Estado parte sostiene que la determinación de sujetar al autor al procedimiento para inimputables fue basada en su comprensión del ilícito cometido, lo cual no significa que se decidiera sobre su capacidad jurídica. Además, se le asignó a un tutor, en este caso al defensor de oficio, para su acompañamiento. Con esto se buscó facilitar el acceso a la justicia de una persona capaz jurídicamente, pero con dificultades para comprender el ilícito que cometió, otorgándole herramientas adecuadas para que pudiera defenderse. El defensor presentó pruebas, argumentos y recursos en defensa del autor. En varias ocasiones, informó del estado del proceso penal al peticionario y sus familiares. Además, el autor promovió diversos recursos a través de sus abogados particulares y del defensor de oficio. Entonces, el Estado parte considera que el procedimiento especial para inimputables constituyó una herramienta adecuada para que el autor tuviera acceso a la justicia en igualdad de condiciones con los demás, y solicita al Comité determinar que no se cometieron violaciones a los derechos del autor. </w:t>
      </w:r>
    </w:p>
    <w:p w:rsidR="003212CC" w:rsidRDefault="003212CC" w:rsidP="003212CC">
      <w:pPr>
        <w:pStyle w:val="H23G"/>
      </w:pPr>
      <w:r>
        <w:tab/>
      </w:r>
      <w:r>
        <w:tab/>
      </w:r>
      <w:r w:rsidRPr="0029628D">
        <w:t>Comentarios del autor sobre las observaciones del Estado parte</w:t>
      </w:r>
    </w:p>
    <w:p w:rsidR="003212CC" w:rsidRDefault="003212CC" w:rsidP="003212CC">
      <w:pPr>
        <w:pStyle w:val="SingleTxtG"/>
      </w:pPr>
      <w:r w:rsidRPr="0029628D">
        <w:t>5.1</w:t>
      </w:r>
      <w:r w:rsidRPr="0029628D">
        <w:tab/>
      </w:r>
      <w:r>
        <w:t>El 22 de marzo de 2016, el autor presentó sus comentarios sobre las observaciones del Estado parte. Señala que los recursos que el Estado parte considera como idóneos no son efectivos ya que la falta de reconocimiento de su capacidad jurídica le impidió acceder a la justicia en igualdad de condición que los demás.</w:t>
      </w:r>
      <w:r w:rsidR="0024508D">
        <w:t xml:space="preserve"> </w:t>
      </w:r>
    </w:p>
    <w:p w:rsidR="003212CC" w:rsidRPr="00AC18C2" w:rsidRDefault="003212CC" w:rsidP="003212CC">
      <w:pPr>
        <w:pStyle w:val="SingleTxtG"/>
      </w:pPr>
      <w:r>
        <w:t>5.2</w:t>
      </w:r>
      <w:r>
        <w:tab/>
        <w:t>A</w:t>
      </w:r>
      <w:r w:rsidRPr="00AC18C2">
        <w:t xml:space="preserve">unque el recurso de apelación existe en la legislación penal mexicana como la vía idónea para impugnar </w:t>
      </w:r>
      <w:r>
        <w:t>una</w:t>
      </w:r>
      <w:r w:rsidRPr="00AC18C2">
        <w:t xml:space="preserve"> sentencia penal de primera instancia, este recurso no es efectivo para las personas declaradas inimputables ya que le</w:t>
      </w:r>
      <w:r>
        <w:t>s</w:t>
      </w:r>
      <w:r w:rsidRPr="00AC18C2">
        <w:t xml:space="preserve"> </w:t>
      </w:r>
      <w:r>
        <w:t>impide</w:t>
      </w:r>
      <w:r w:rsidRPr="00AC18C2">
        <w:t xml:space="preserve"> acceder a</w:t>
      </w:r>
      <w:r>
        <w:t xml:space="preserve"> los recursos</w:t>
      </w:r>
      <w:r w:rsidRPr="00AC18C2">
        <w:t xml:space="preserve"> y</w:t>
      </w:r>
      <w:r>
        <w:t>, más generalmente,</w:t>
      </w:r>
      <w:r w:rsidRPr="00AC18C2">
        <w:t xml:space="preserve"> a la justicia. </w:t>
      </w:r>
      <w:r>
        <w:t>El autor nunca fue notificado personalmente de las decisiones, ni informado de los recursos disponibles. Entonces, no se puede decir que haya decidido no interponer el recurso</w:t>
      </w:r>
      <w:r w:rsidRPr="00AC18C2">
        <w:t xml:space="preserve">. </w:t>
      </w:r>
    </w:p>
    <w:p w:rsidR="003212CC" w:rsidRPr="00AC18C2" w:rsidRDefault="003212CC" w:rsidP="003212CC">
      <w:pPr>
        <w:pStyle w:val="SingleTxtG"/>
      </w:pPr>
      <w:r>
        <w:t>5.3</w:t>
      </w:r>
      <w:r>
        <w:tab/>
        <w:t xml:space="preserve">El autor también considera que el recurso de apelación </w:t>
      </w:r>
      <w:r w:rsidRPr="00AC18C2">
        <w:t xml:space="preserve">no </w:t>
      </w:r>
      <w:r>
        <w:t>permite</w:t>
      </w:r>
      <w:r w:rsidRPr="00AC18C2">
        <w:t xml:space="preserve"> establecer si se ha incurrido en una violación a los </w:t>
      </w:r>
      <w:r>
        <w:t>derechos humanos</w:t>
      </w:r>
      <w:r w:rsidRPr="00AC18C2">
        <w:t xml:space="preserve"> reconocidos por la Convención</w:t>
      </w:r>
      <w:r>
        <w:t>, o</w:t>
      </w:r>
      <w:r w:rsidRPr="00AC18C2">
        <w:t xml:space="preserve"> remediar las violaciones a las garantías judiciales que las per</w:t>
      </w:r>
      <w:r>
        <w:t xml:space="preserve">sonas con discapacidad sufren dentro del </w:t>
      </w:r>
      <w:r w:rsidRPr="00AC18C2">
        <w:t xml:space="preserve">procedimiento </w:t>
      </w:r>
      <w:r>
        <w:t xml:space="preserve">especial </w:t>
      </w:r>
      <w:r w:rsidRPr="00AC18C2">
        <w:t xml:space="preserve">para inimputables. </w:t>
      </w:r>
    </w:p>
    <w:p w:rsidR="003212CC" w:rsidRDefault="003212CC" w:rsidP="003212CC">
      <w:pPr>
        <w:pStyle w:val="SingleTxtG"/>
      </w:pPr>
      <w:r>
        <w:t>5.4</w:t>
      </w:r>
      <w:r>
        <w:tab/>
        <w:t xml:space="preserve">Según el autor, la </w:t>
      </w:r>
      <w:r w:rsidRPr="00AC18C2">
        <w:t xml:space="preserve">negación de la capacidad jurídica de los inimputables </w:t>
      </w:r>
      <w:r>
        <w:t xml:space="preserve">contradice la </w:t>
      </w:r>
      <w:r w:rsidRPr="00AC18C2">
        <w:t xml:space="preserve">obligación </w:t>
      </w:r>
      <w:r>
        <w:t xml:space="preserve">del Estado parte </w:t>
      </w:r>
      <w:r w:rsidRPr="00AC18C2">
        <w:t xml:space="preserve">de garantizar la igualdad de condiciones y la no </w:t>
      </w:r>
      <w:r>
        <w:t xml:space="preserve">discriminación. Dicha </w:t>
      </w:r>
      <w:r w:rsidRPr="00AC18C2">
        <w:t>discriminación</w:t>
      </w:r>
      <w:r>
        <w:t xml:space="preserve"> es</w:t>
      </w:r>
      <w:r w:rsidRPr="00AC18C2">
        <w:t xml:space="preserve"> </w:t>
      </w:r>
      <w:r w:rsidRPr="00685225">
        <w:rPr>
          <w:i/>
        </w:rPr>
        <w:t>de jure</w:t>
      </w:r>
      <w:r w:rsidRPr="00AC18C2">
        <w:t xml:space="preserve"> ya que </w:t>
      </w:r>
      <w:r>
        <w:t xml:space="preserve">la aplicación del </w:t>
      </w:r>
      <w:r w:rsidRPr="00AC18C2">
        <w:t>procedimiento espec</w:t>
      </w:r>
      <w:r>
        <w:t xml:space="preserve">ial es permitida por el </w:t>
      </w:r>
      <w:r w:rsidRPr="00AC18C2">
        <w:t>C</w:t>
      </w:r>
      <w:r>
        <w:t xml:space="preserve">ódigo de Procedimientos Penales. Finalmente, el Juzgado Décimo Tercero que </w:t>
      </w:r>
      <w:r w:rsidRPr="00AC18C2">
        <w:t>orden</w:t>
      </w:r>
      <w:r>
        <w:t>ó</w:t>
      </w:r>
      <w:r w:rsidRPr="00AC18C2">
        <w:t xml:space="preserve"> que se subsane la notificación de la sentencia, mediante la resolución emitida en el juicio de amparo, </w:t>
      </w:r>
      <w:r>
        <w:t xml:space="preserve">lo hizo </w:t>
      </w:r>
      <w:r w:rsidRPr="00AC18C2">
        <w:t>ordenando la notificación a t</w:t>
      </w:r>
      <w:r>
        <w:t>ravés de su representante legal y no a él personalmente. En el momento en que se subsanó la notificación, el autor se</w:t>
      </w:r>
      <w:r w:rsidRPr="00AC18C2">
        <w:t xml:space="preserve"> encontraba bajo tutela del Estado y la notificación se </w:t>
      </w:r>
      <w:r>
        <w:t>hizo</w:t>
      </w:r>
      <w:r w:rsidRPr="00AC18C2">
        <w:t xml:space="preserve"> </w:t>
      </w:r>
      <w:r>
        <w:t>en</w:t>
      </w:r>
      <w:r w:rsidRPr="00AC18C2">
        <w:t xml:space="preserve"> la casa de la madre</w:t>
      </w:r>
      <w:r>
        <w:t>. Por lo tanto, la sentencia no le fue notificada personalmente, y no pudo apelarla.</w:t>
      </w:r>
      <w:r w:rsidR="0024508D">
        <w:t xml:space="preserve"> </w:t>
      </w:r>
    </w:p>
    <w:p w:rsidR="003212CC" w:rsidRPr="00AC18C2" w:rsidRDefault="003212CC" w:rsidP="003212CC">
      <w:pPr>
        <w:pStyle w:val="SingleTxtG"/>
      </w:pPr>
      <w:r>
        <w:t>5.5</w:t>
      </w:r>
      <w:r>
        <w:tab/>
        <w:t>Según el autor, dicha circunstancia conllevó una violación de su derecho a que se le notificara la sentencia personalmente y a que se le explicara la misma. Considera que no promovió medios de impugnación de forma incorrecta ya que, al no tener acceso al recurso de apelación, quedó en estado de indefensión. Las autoridades no subsanaron sus errores y no tuvo acceso a un recurso efectivo.</w:t>
      </w:r>
    </w:p>
    <w:p w:rsidR="003212CC" w:rsidRDefault="003212CC" w:rsidP="003212CC">
      <w:pPr>
        <w:pStyle w:val="SingleTxtG"/>
      </w:pPr>
      <w:r>
        <w:t>5.6</w:t>
      </w:r>
      <w:r>
        <w:tab/>
        <w:t xml:space="preserve">El </w:t>
      </w:r>
      <w:r w:rsidRPr="00AC18C2">
        <w:t>18 de mayo de 2016</w:t>
      </w:r>
      <w:r>
        <w:t>, el autor presentó comentarios adicionales.</w:t>
      </w:r>
      <w:r w:rsidRPr="00AC18C2">
        <w:t xml:space="preserve"> </w:t>
      </w:r>
      <w:r>
        <w:t>En cuanto al argumento del Estado parte de que debió agotar todos los recursos con relación a la negación de designar a la defensa de su elección, el autor expresa que tal decisión no le fue notificada y que no se le brindaron las herramientas necesarias para defenderse.</w:t>
      </w:r>
      <w:r w:rsidR="0024508D">
        <w:t xml:space="preserve"> </w:t>
      </w:r>
      <w:r>
        <w:t xml:space="preserve">También alega que no se podía exigir a su madre el agotamiento de los recursos respecto de la resolución que denegó el nombramiento de defensor, ya que el Estado tenía la obligación de respetar la capacidad jurídica del autor para actuar por sí mismo. </w:t>
      </w:r>
    </w:p>
    <w:p w:rsidR="003212CC" w:rsidRDefault="00BB2761" w:rsidP="003212CC">
      <w:pPr>
        <w:pStyle w:val="SingleTxtG"/>
      </w:pPr>
      <w:r>
        <w:t>5.7</w:t>
      </w:r>
      <w:r>
        <w:tab/>
      </w:r>
      <w:r w:rsidR="003212CC">
        <w:t xml:space="preserve">El autor agrega que el procedimiento especial para inimputables se traduce en una especie de juicio de interdicción, ya que se impone la participación de una tercera persona que sustituye las actuaciones de la persona con discapacidad y que debe “hacerse cargo” de la misma. La figura de la inimputabilidad implica la sujeción a un procedimiento penal carente de garantías procesales y conlleva la imposición de medidas de seguridad que pretende salvaguardar a la sociedad y al mismo individuo del supuesto peligro que representa. Dicho procedimiento se basa únicamente en las pruebas médicas realizadas. Una vez la prueba médica expresa que el autor no puede realizar declaración, sirve como justificación para que un juez lo excluyera de su proceso penal. </w:t>
      </w:r>
    </w:p>
    <w:p w:rsidR="003212CC" w:rsidRPr="00AC18C2" w:rsidRDefault="003212CC" w:rsidP="003212CC">
      <w:pPr>
        <w:pStyle w:val="SingleTxtG"/>
      </w:pPr>
      <w:r>
        <w:t>5.8</w:t>
      </w:r>
      <w:r>
        <w:tab/>
        <w:t>El autor también considera que la imposición de medidas de seguridad dentro del proceso penal para inimputables conlleva a la privación de libertad de las personas con discapacidad, sin que se controle la duración de la misma. La imposición de medidas de seguridad también limita la posibilidad de acceder a beneficios de liberación anticipada para reducir la condena. El Código Penal del Distrito Federal exige que una vez concluido el tiempo del tratamiento, la autoridad competente entregará al inimputable a sus familiares para que se hagan cargo de él, y si no tiene familiares, lo pondrá a disposición de la autoridad de salud o institución asistencial, para que procedan conforme a las leyes aplicables</w:t>
      </w:r>
      <w:r>
        <w:rPr>
          <w:rStyle w:val="Refdenotaalpie"/>
        </w:rPr>
        <w:footnoteReference w:id="14"/>
      </w:r>
      <w:r w:rsidR="0061021D">
        <w:t>.</w:t>
      </w:r>
      <w:r>
        <w:t xml:space="preserve"> Finalmente, el autor señala que su caso ejemplifica como el derecho a acceder a la justicia y a las garantías procesales, así como a la libertad y seguridad personales, se ven afectados de forma sistemática y generalizada por el incumplimiento de sus obligaciones convencionales por el Estado parte, y el modelo social de la discapacidad. </w:t>
      </w:r>
    </w:p>
    <w:p w:rsidR="003212CC" w:rsidRPr="0029628D" w:rsidRDefault="003212CC" w:rsidP="003212CC">
      <w:pPr>
        <w:pStyle w:val="H23G"/>
      </w:pPr>
      <w:r>
        <w:tab/>
      </w:r>
      <w:r>
        <w:tab/>
      </w:r>
      <w:r w:rsidRPr="0029628D">
        <w:t>Observaciones adicionales de</w:t>
      </w:r>
      <w:r>
        <w:t xml:space="preserve"> las partes</w:t>
      </w:r>
    </w:p>
    <w:p w:rsidR="003212CC" w:rsidRDefault="003212CC" w:rsidP="003212CC">
      <w:pPr>
        <w:pStyle w:val="SingleTxtG"/>
      </w:pPr>
      <w:r w:rsidRPr="0029628D">
        <w:t>6.1</w:t>
      </w:r>
      <w:r w:rsidRPr="0029628D">
        <w:tab/>
        <w:t xml:space="preserve">El </w:t>
      </w:r>
      <w:r>
        <w:t>27</w:t>
      </w:r>
      <w:r w:rsidRPr="0029628D">
        <w:t xml:space="preserve"> de </w:t>
      </w:r>
      <w:r>
        <w:t>mayo</w:t>
      </w:r>
      <w:r w:rsidRPr="0029628D">
        <w:t xml:space="preserve"> de 2016, el Estado parte reiteró que </w:t>
      </w:r>
      <w:r>
        <w:t>la comunicación es inadmisible por no agotamiento de los recursos internos. También sostiene que la determinación de sujetar al autor al Procedimiento Especial para Inimputables no significó que fuera despojado de su capacidad jurídica. Para que una persona sea despojada de su capacidad jurídica, debe seguirse un juicio de interdicción, regulado en el artículo 904 del Código de Procedimientos Civiles, lo cual no ha sucedido en el presente caso. El autor tuvo un acompañamiento adecuado, por parte del defensor de oficio.</w:t>
      </w:r>
      <w:r w:rsidR="0024508D">
        <w:t xml:space="preserve"> </w:t>
      </w:r>
    </w:p>
    <w:p w:rsidR="003212CC" w:rsidRPr="00E47652" w:rsidRDefault="003212CC" w:rsidP="003212CC">
      <w:pPr>
        <w:pStyle w:val="SingleTxtG"/>
      </w:pPr>
      <w:r>
        <w:t>6.2</w:t>
      </w:r>
      <w:r>
        <w:tab/>
        <w:t>El Estado parte alega que</w:t>
      </w:r>
      <w:r w:rsidR="00FB07F3">
        <w:t>,</w:t>
      </w:r>
      <w:r>
        <w:t xml:space="preserve"> a partir del 23 de julio de 2015, el Juzgado Noveno Penal del Distrito Federal notificó la sentencia definitiva de 5 de diciembre de 2011 al representante legal del autor en la dirección señalada en el expediente. </w:t>
      </w:r>
      <w:r w:rsidR="00FB07F3">
        <w:t>Ante la falta de</w:t>
      </w:r>
      <w:r>
        <w:t xml:space="preserve"> respuesta, se dejó cédula pegada en el domicilio en cuatro ocasiones, de conformidad con los artículos 80 y 86 del Código de Procedimientos Penales para el Distrito Federal. Esta notificación permitió al autor y a sus representantes legales apelar la sentencia. Sin embargo, no lo hicieron, impidiendo que agotaran los recursos internos. </w:t>
      </w:r>
    </w:p>
    <w:p w:rsidR="003212CC" w:rsidRDefault="003212CC" w:rsidP="003212CC">
      <w:pPr>
        <w:pStyle w:val="SingleTxtG"/>
        <w:rPr>
          <w:lang w:val="es-419"/>
        </w:rPr>
      </w:pPr>
      <w:r>
        <w:rPr>
          <w:lang w:val="es-419"/>
        </w:rPr>
        <w:t>6.3</w:t>
      </w:r>
      <w:r>
        <w:rPr>
          <w:lang w:val="es-419"/>
        </w:rPr>
        <w:tab/>
        <w:t xml:space="preserve">El 16 de agosto de 2016, el autor presentó observaciones adicionales, reiterando sus argumentos con relación a la falta de reconocimiento de su capacidad jurídica y a la falta de notificación personal en su caso. </w:t>
      </w:r>
    </w:p>
    <w:p w:rsidR="003212CC" w:rsidRDefault="003212CC" w:rsidP="003212CC">
      <w:pPr>
        <w:pStyle w:val="SingleTxtG"/>
        <w:rPr>
          <w:lang w:val="es-419"/>
        </w:rPr>
      </w:pPr>
      <w:r>
        <w:rPr>
          <w:lang w:val="es-419"/>
        </w:rPr>
        <w:t>6.4</w:t>
      </w:r>
      <w:r>
        <w:rPr>
          <w:lang w:val="es-419"/>
        </w:rPr>
        <w:tab/>
        <w:t>El 5 de septiembre de 2016, el Estado parte reiteró sus argumentos anteriores.</w:t>
      </w:r>
      <w:r w:rsidR="0024508D">
        <w:rPr>
          <w:lang w:val="es-419"/>
        </w:rPr>
        <w:t xml:space="preserve"> </w:t>
      </w:r>
    </w:p>
    <w:p w:rsidR="003212CC" w:rsidRDefault="00BB2761" w:rsidP="00BB2761">
      <w:pPr>
        <w:pStyle w:val="H23G"/>
        <w:rPr>
          <w:lang w:val="es-419"/>
        </w:rPr>
      </w:pPr>
      <w:r>
        <w:rPr>
          <w:lang w:val="es-419"/>
        </w:rPr>
        <w:tab/>
      </w:r>
      <w:r>
        <w:rPr>
          <w:lang w:val="es-419"/>
        </w:rPr>
        <w:tab/>
      </w:r>
      <w:r w:rsidR="003212CC">
        <w:rPr>
          <w:lang w:val="es-419"/>
        </w:rPr>
        <w:t xml:space="preserve">Intervenciones de terceros </w:t>
      </w:r>
    </w:p>
    <w:p w:rsidR="003212CC" w:rsidRDefault="003212CC" w:rsidP="003212CC">
      <w:pPr>
        <w:pStyle w:val="SingleTxtG"/>
        <w:rPr>
          <w:lang w:val="es-419"/>
        </w:rPr>
      </w:pPr>
      <w:r>
        <w:rPr>
          <w:lang w:val="es-419"/>
        </w:rPr>
        <w:t>7.1</w:t>
      </w:r>
      <w:r>
        <w:rPr>
          <w:lang w:val="es-419"/>
        </w:rPr>
        <w:tab/>
        <w:t xml:space="preserve">El 13 de junio de 2017, las abogadas María Florencia </w:t>
      </w:r>
      <w:proofErr w:type="spellStart"/>
      <w:r>
        <w:rPr>
          <w:lang w:val="es-419"/>
        </w:rPr>
        <w:t>Hegglin</w:t>
      </w:r>
      <w:proofErr w:type="spellEnd"/>
      <w:r>
        <w:rPr>
          <w:lang w:val="es-419"/>
        </w:rPr>
        <w:t xml:space="preserve"> y Lucila </w:t>
      </w:r>
      <w:proofErr w:type="spellStart"/>
      <w:r>
        <w:rPr>
          <w:lang w:val="es-419"/>
        </w:rPr>
        <w:t>Bernardini</w:t>
      </w:r>
      <w:proofErr w:type="spellEnd"/>
      <w:r>
        <w:rPr>
          <w:lang w:val="es-419"/>
        </w:rPr>
        <w:t xml:space="preserve">, y el médico Ezequiel Mercurio, presentaron tres intervenciones, </w:t>
      </w:r>
      <w:r w:rsidRPr="001773A3">
        <w:t>acompañada</w:t>
      </w:r>
      <w:r>
        <w:t>s</w:t>
      </w:r>
      <w:r w:rsidRPr="001773A3">
        <w:t xml:space="preserve"> de la autorización escrita de</w:t>
      </w:r>
      <w:r>
        <w:t>l autor de</w:t>
      </w:r>
      <w:r w:rsidRPr="001773A3">
        <w:t xml:space="preserve"> la comunicación</w:t>
      </w:r>
      <w:r>
        <w:rPr>
          <w:lang w:val="es-419"/>
        </w:rPr>
        <w:t xml:space="preserve">. El 15 de junio de 2017, el Grupo de Trabajo sobre Comunicaciones, autorizó dicha intervención, de conformidad con el párrafo 3° del artículo 72 del Reglamento del Comité. </w:t>
      </w:r>
    </w:p>
    <w:p w:rsidR="003212CC" w:rsidRDefault="003212CC" w:rsidP="003212CC">
      <w:pPr>
        <w:pStyle w:val="SingleTxtG"/>
        <w:rPr>
          <w:lang w:val="es-419"/>
        </w:rPr>
      </w:pPr>
      <w:r>
        <w:rPr>
          <w:lang w:val="es-419"/>
        </w:rPr>
        <w:t>7.2</w:t>
      </w:r>
      <w:r>
        <w:rPr>
          <w:lang w:val="es-419"/>
        </w:rPr>
        <w:tab/>
        <w:t>La primera intervención</w:t>
      </w:r>
      <w:r>
        <w:rPr>
          <w:rStyle w:val="Refdenotaalpie"/>
          <w:lang w:val="es-419"/>
        </w:rPr>
        <w:footnoteReference w:id="15"/>
      </w:r>
      <w:r>
        <w:rPr>
          <w:lang w:val="es-419"/>
        </w:rPr>
        <w:t xml:space="preserve"> hace referencia a la obligación de los Estados partes de introducir medidas para promover los derechos de las personas con discapacidad y a luchar contra la discriminación. Implica que deben hacerse ajustes necesarios del procedimiento y que sean adecuados, en todos los procedimientos judiciales, con inclusión de la etapa de investigación y otras etapas preliminares. </w:t>
      </w:r>
    </w:p>
    <w:p w:rsidR="003212CC" w:rsidRDefault="003212CC" w:rsidP="003212CC">
      <w:pPr>
        <w:pStyle w:val="SingleTxtG"/>
        <w:rPr>
          <w:lang w:val="es-419"/>
        </w:rPr>
      </w:pPr>
      <w:r>
        <w:rPr>
          <w:lang w:val="es-419"/>
        </w:rPr>
        <w:t>7.3</w:t>
      </w:r>
      <w:r>
        <w:rPr>
          <w:lang w:val="es-419"/>
        </w:rPr>
        <w:tab/>
        <w:t>La segunda intervención</w:t>
      </w:r>
      <w:r>
        <w:rPr>
          <w:rStyle w:val="Refdenotaalpie"/>
          <w:lang w:val="es-419"/>
        </w:rPr>
        <w:footnoteReference w:id="16"/>
      </w:r>
      <w:r>
        <w:rPr>
          <w:lang w:val="es-419"/>
        </w:rPr>
        <w:t xml:space="preserve"> presenta argumentos para determinar la manera como el procedimiento especial para inimputables contraviene los derechos de las personas con discapacidad. El estatus de inimputable se determina a partir de un diagnóstico médico. A partir de allí, la persona queda excluida del procedimiento penal y sus derechos fundamentales son restringidos: pierde su condición de sujeto titular de derechos para ser considerada como objeto de intervención de otras personas a quienes se les atribuye la facultad de actuar en su lugar. En este procedimiento, la discapacidad psicosocial es la única razón para justificar esa restricción de derechos y garantías. Adicionalmente, la imposición de medidas de seguridad, basándose en la peligrosi</w:t>
      </w:r>
      <w:r w:rsidR="00BB2761">
        <w:rPr>
          <w:lang w:val="es-419"/>
        </w:rPr>
        <w:t xml:space="preserve">dad de la persona, contraviene </w:t>
      </w:r>
      <w:r>
        <w:rPr>
          <w:lang w:val="es-419"/>
        </w:rPr>
        <w:t xml:space="preserve">la Convención ya que se construye sobre un modelo médico donde la discapacidad psicosocial e intelectual funda automáticamente una condición de inimputabilidad permanente. La persona deja de ser sujeto de derechos para transformarse en objeto de intervención tutelar. </w:t>
      </w:r>
    </w:p>
    <w:p w:rsidR="003212CC" w:rsidRDefault="00CF086A" w:rsidP="003212CC">
      <w:pPr>
        <w:pStyle w:val="SingleTxtG"/>
        <w:rPr>
          <w:lang w:val="es-419"/>
        </w:rPr>
      </w:pPr>
      <w:r>
        <w:rPr>
          <w:lang w:val="es-419"/>
        </w:rPr>
        <w:t>7.4</w:t>
      </w:r>
      <w:r>
        <w:rPr>
          <w:lang w:val="es-419"/>
        </w:rPr>
        <w:tab/>
      </w:r>
      <w:r w:rsidR="003212CC">
        <w:rPr>
          <w:lang w:val="es-419"/>
        </w:rPr>
        <w:t>La tercera intervención</w:t>
      </w:r>
      <w:r w:rsidR="003212CC">
        <w:rPr>
          <w:rStyle w:val="Refdenotaalpie"/>
          <w:lang w:val="es-419"/>
        </w:rPr>
        <w:footnoteReference w:id="17"/>
      </w:r>
      <w:r w:rsidR="003212CC">
        <w:rPr>
          <w:lang w:val="es-419"/>
        </w:rPr>
        <w:t xml:space="preserve"> se centra en la aplicación de una medida de seguridad basada en la peligrosidad del autor que responde a un criterio de protección y defensa social y no se ajusta con los estándares internacionales sobre el tratamiento de las personas con discapacidad. La utilización de la medida de seguridad en el presente caso fue contraria al espíritu de los artículos 9, 12, 14, 19 y 25 de la Convención ya que existían otras medidas menos restrictivas y respetuosas de la autonomía y dignidad de la persona, tales como un dispositivo de hospital de día o un tratamiento domiciliario supervisado. </w:t>
      </w:r>
    </w:p>
    <w:p w:rsidR="003212CC" w:rsidRDefault="00BB2761" w:rsidP="00BB2761">
      <w:pPr>
        <w:pStyle w:val="H23G"/>
        <w:rPr>
          <w:lang w:val="es-419"/>
        </w:rPr>
      </w:pPr>
      <w:r>
        <w:rPr>
          <w:lang w:val="es-419"/>
        </w:rPr>
        <w:tab/>
      </w:r>
      <w:r>
        <w:rPr>
          <w:lang w:val="es-419"/>
        </w:rPr>
        <w:tab/>
      </w:r>
      <w:r w:rsidR="003212CC">
        <w:rPr>
          <w:lang w:val="es-419"/>
        </w:rPr>
        <w:t>Observaciones del Estado parte sobre las intervenciones de terceros</w:t>
      </w:r>
      <w:r w:rsidR="0024508D">
        <w:rPr>
          <w:lang w:val="es-419"/>
        </w:rPr>
        <w:t xml:space="preserve"> </w:t>
      </w:r>
    </w:p>
    <w:p w:rsidR="003212CC" w:rsidRDefault="003212CC" w:rsidP="003212CC">
      <w:pPr>
        <w:pStyle w:val="SingleTxtG"/>
        <w:rPr>
          <w:lang w:val="es-419"/>
        </w:rPr>
      </w:pPr>
      <w:r>
        <w:rPr>
          <w:lang w:val="es-419"/>
        </w:rPr>
        <w:t>8.1</w:t>
      </w:r>
      <w:r>
        <w:rPr>
          <w:lang w:val="es-419"/>
        </w:rPr>
        <w:tab/>
        <w:t xml:space="preserve">El 18 de agosto de 2017, el Estado parte presentó sus observaciones a las intervenciones de los terceros. Reitera que el Procedimiento Especial para Inimputables no excluye a la persona, ya que se le asigna una representación y se le sujeta a tal procedimiento para que esté en igualdad de condiciones como cualquier persona que haya presuntamente cometido un delito. </w:t>
      </w:r>
    </w:p>
    <w:p w:rsidR="003212CC" w:rsidRDefault="003212CC" w:rsidP="003212CC">
      <w:pPr>
        <w:pStyle w:val="SingleTxtG"/>
        <w:rPr>
          <w:lang w:val="es-419"/>
        </w:rPr>
      </w:pPr>
      <w:r>
        <w:rPr>
          <w:lang w:val="es-419"/>
        </w:rPr>
        <w:t>8.2</w:t>
      </w:r>
      <w:r>
        <w:rPr>
          <w:lang w:val="es-419"/>
        </w:rPr>
        <w:tab/>
        <w:t>El Estado parte afirma que,</w:t>
      </w:r>
      <w:r w:rsidRPr="00463DA5">
        <w:rPr>
          <w:lang w:val="es-419"/>
        </w:rPr>
        <w:t xml:space="preserve"> </w:t>
      </w:r>
      <w:r>
        <w:rPr>
          <w:lang w:val="es-419"/>
        </w:rPr>
        <w:t>como parte de sus compromisos internacionales, ha emprendido importantes labores legislativos para mejorar el Sistema de Justicia. unen el nuevo Sistema Penal Acusatorio vigente, se ha reformado el apartado referente al procedimiento para personas consideradas como inimputables</w:t>
      </w:r>
      <w:r>
        <w:rPr>
          <w:rStyle w:val="Refdenotaalpie"/>
          <w:lang w:val="es-419"/>
        </w:rPr>
        <w:footnoteReference w:id="18"/>
      </w:r>
      <w:r>
        <w:rPr>
          <w:lang w:val="es-419"/>
        </w:rPr>
        <w:t>. Si bien la legislación anterior no violaba los derechos humanos, dicha reforma establece nuevos criterios que permiten a las partes tener mayor certeza jurídica sobre los mecanismos aplicados para determinar la inimputabilidad de una persona.</w:t>
      </w:r>
    </w:p>
    <w:p w:rsidR="003212CC" w:rsidRPr="0029628D" w:rsidRDefault="003212CC" w:rsidP="003212CC">
      <w:pPr>
        <w:pStyle w:val="H1G"/>
      </w:pPr>
      <w:r w:rsidRPr="0029628D">
        <w:tab/>
        <w:t>B.</w:t>
      </w:r>
      <w:r w:rsidRPr="0029628D">
        <w:tab/>
        <w:t>Examen del Comité sobre la admisibilidad y el fondo</w:t>
      </w:r>
    </w:p>
    <w:p w:rsidR="003212CC" w:rsidRPr="0029628D" w:rsidRDefault="003212CC" w:rsidP="003212CC">
      <w:pPr>
        <w:pStyle w:val="H23G"/>
      </w:pPr>
      <w:r>
        <w:tab/>
      </w:r>
      <w:r>
        <w:tab/>
      </w:r>
      <w:r w:rsidRPr="0029628D">
        <w:t>Examen de la admisibilidad</w:t>
      </w:r>
    </w:p>
    <w:p w:rsidR="003212CC" w:rsidRPr="0029628D" w:rsidRDefault="003212CC" w:rsidP="003212CC">
      <w:pPr>
        <w:pStyle w:val="SingleTxtG"/>
      </w:pPr>
      <w:r>
        <w:t>9</w:t>
      </w:r>
      <w:r w:rsidRPr="0029628D">
        <w:t>.1</w:t>
      </w:r>
      <w:r w:rsidRPr="0029628D">
        <w:tab/>
        <w:t>Antes de examinar toda reclamación formulada en una comunicación, el Comité debe decidir, de conformidad con el artículo 2 del Protocolo Facultativo y el artículo 65 de su reglamento, si dicha comunicación es admisible en virtud del Protocolo Facultativo.</w:t>
      </w:r>
    </w:p>
    <w:p w:rsidR="003212CC" w:rsidRPr="0029628D" w:rsidRDefault="003212CC" w:rsidP="003212CC">
      <w:pPr>
        <w:pStyle w:val="SingleTxtG"/>
      </w:pPr>
      <w:r>
        <w:t>9</w:t>
      </w:r>
      <w:r w:rsidRPr="0029628D">
        <w:t>.2</w:t>
      </w:r>
      <w:r w:rsidRPr="0029628D">
        <w:tab/>
        <w:t>En cumplimiento de lo exigido en el artículo 2 c) del Protocolo Facultativo, el Comité se ha cerciorado de que el mismo asunto n</w:t>
      </w:r>
      <w:r>
        <w:t xml:space="preserve">o ha sido, ni </w:t>
      </w:r>
      <w:r w:rsidRPr="0029628D">
        <w:t>está siendo examinado en el marco de otro procedimiento de investigación o arreglo internacionales.</w:t>
      </w:r>
      <w:r>
        <w:t xml:space="preserve"> </w:t>
      </w:r>
    </w:p>
    <w:p w:rsidR="003212CC" w:rsidRDefault="003212CC" w:rsidP="003212CC">
      <w:pPr>
        <w:pStyle w:val="SingleTxtG"/>
      </w:pPr>
      <w:r>
        <w:t>9.3</w:t>
      </w:r>
      <w:r>
        <w:tab/>
        <w:t>Por lo que se refiere a las alegaciones del autor en cuanto a la violación del artículo 19, leído conjuntamente con el artículo 4 de la Convención (véase el párr. 3.7), el Comité observa que no se ha aportado información específica relacionada con la supuesta violación del derecho del autor a vivir de forma independiente y a ser incluido en la comunidad. En consecuencia, el Comité considera que esta parte de la queja no ha sido suficientemente fundamentada y la declara inadmisible de conformidad con el artículo 2 e) del Protocolo Facultativo.</w:t>
      </w:r>
    </w:p>
    <w:p w:rsidR="003212CC" w:rsidRDefault="003212CC" w:rsidP="003212CC">
      <w:pPr>
        <w:pStyle w:val="SingleTxtG"/>
      </w:pPr>
      <w:r>
        <w:t>9.4</w:t>
      </w:r>
      <w:r w:rsidRPr="0029628D">
        <w:tab/>
        <w:t xml:space="preserve">El Comité </w:t>
      </w:r>
      <w:r>
        <w:t xml:space="preserve">toma nota de los argumentos presentados por el Estado parte relativos al no agotamiento de los recursos internos, según los cuales el autor tuvo alcance a todos los recursos y medios impugnativos posibles previstos en las leyes procesales, sin que en momento alguno se le hubiere limitado el derecho a ejercerlos. Asimismo, el Estado parte sostiene que el autor no utilizó el recurso adecuado para subsanar sus pretensiones, ya que tuvo la oportunidad de recurrir la sentencia definitiva a través del recurso de apelación, pero no lo promovió. </w:t>
      </w:r>
      <w:r w:rsidR="00FB07F3">
        <w:t>Según</w:t>
      </w:r>
      <w:r>
        <w:t xml:space="preserve"> lo expuesto por el Estado parte, el autor tuvo una segunda oportunidad para interponer el recurso de apelación en contra de la sentencia condenatoria cuando el Juzgado Décimo Tercero de Distrito ordenó que se notificara la sentencia condenatoria al autor a través de su representante legal. Sin embargo, el Comité toma nota de lo expuesto por el autor que la falta de reconocimiento de capacidad jurídica le impidió el acceso a la justicia en igualdad de condiciones que los demás ya que fue excluido del proceso penal y no se le permitió acceder a los recursos por su propia cuenta. Además, el Comité nota que según el autor al </w:t>
      </w:r>
      <w:r w:rsidRPr="00AC18C2">
        <w:t>no habér</w:t>
      </w:r>
      <w:r>
        <w:t>se</w:t>
      </w:r>
      <w:r w:rsidRPr="00AC18C2">
        <w:t>le notificado la sentencia ni habér</w:t>
      </w:r>
      <w:r>
        <w:t>se</w:t>
      </w:r>
      <w:r w:rsidRPr="00AC18C2">
        <w:t xml:space="preserve">le informado sobre la posibilidad de interponer recurso alguno, no se puede decir </w:t>
      </w:r>
      <w:r>
        <w:t>que él</w:t>
      </w:r>
      <w:r w:rsidRPr="00AC18C2">
        <w:t xml:space="preserve"> decidió no interponer el recurso. </w:t>
      </w:r>
    </w:p>
    <w:p w:rsidR="003212CC" w:rsidRDefault="003212CC" w:rsidP="003212CC">
      <w:pPr>
        <w:pStyle w:val="SingleTxtG"/>
      </w:pPr>
      <w:r>
        <w:t>9.5</w:t>
      </w:r>
      <w:r>
        <w:tab/>
        <w:t xml:space="preserve">El Comité advierte que, de acuerdo a la documentación presentada, el autor no pudo participar directamente en el procedimiento y que, como consecuencia de ello, no tuvo acceso a los recursos legalmente disponibles. Nota que, todas las notificaciones que se llevaron a cabo dentro del proceso penal fueron realizadas al defensor de oficio del autor, incluyendo la sentencia que lo declaró responsable de la comisión del delito de robo. Por lo tanto, el autor </w:t>
      </w:r>
      <w:r>
        <w:rPr>
          <w:lang w:val="es-ES_tradnl"/>
        </w:rPr>
        <w:t xml:space="preserve">no pudo apelar la sentencia de primera instancia dictada en su contra porque no fue informado a tiempo de la sentencia. </w:t>
      </w:r>
      <w:r>
        <w:t xml:space="preserve">El Comité también observa que el autor interpuso un recurso de Amparo en el cual invocó se aplicara una excepción al principio de </w:t>
      </w:r>
      <w:proofErr w:type="spellStart"/>
      <w:r>
        <w:t>definitividad</w:t>
      </w:r>
      <w:proofErr w:type="spellEnd"/>
      <w:r>
        <w:t xml:space="preserve"> ya que no había tenido la posibilidad de interponer el recurso de apelación en virtud que no se le había notificado la sentencia. Sin embargo, el Tribunal le denegó la petición de hacer una excepción al principio de </w:t>
      </w:r>
      <w:proofErr w:type="spellStart"/>
      <w:r>
        <w:t>definitividad</w:t>
      </w:r>
      <w:proofErr w:type="spellEnd"/>
      <w:r>
        <w:t xml:space="preserve"> y se declaró incompetente para conocer del juicio de Amparo directo, remitiendo al proceso para que se llevara a cabo un proceso de amparo indirecto. El Juzgado designado para llevar el proceso de amparo indirecto, también se declaró incompetente para conocer y a efecto de no dejar en indefensión al autor, ordenó al Juzgado Noveno Penal que notificará la sentencia condenatoria emitida el 5 de diciembre de 2011 a través de su representante legal. El Comité considera que la falta de notificación personal de la sentencia definitiva y la imposibilidad </w:t>
      </w:r>
      <w:r w:rsidR="00FB07F3">
        <w:t>de</w:t>
      </w:r>
      <w:r>
        <w:t xml:space="preserve">l autor </w:t>
      </w:r>
      <w:r w:rsidR="00FB07F3">
        <w:t>de</w:t>
      </w:r>
      <w:r>
        <w:t xml:space="preserve"> participar directamente en las diferentes etapas del procedimiento judicial desarrollado en su contra constituyeron un impedimento para que tuviera acceso a los recursos legalmente disponibles.</w:t>
      </w:r>
      <w:r w:rsidR="00EF0FB6">
        <w:t xml:space="preserve"> Además, el Comité estima que no se puede esperar que el autor iniciara nuevamente un recurso después de que le fuera notificada la sentencia condenatoria a su representante legal el 23 de julio de 2015, casi</w:t>
      </w:r>
      <w:r w:rsidR="00EF0FB6" w:rsidRPr="00EF0FB6">
        <w:t xml:space="preserve"> </w:t>
      </w:r>
      <w:r w:rsidR="00EF0FB6">
        <w:t xml:space="preserve">cuatro años después de que fuera emitida. </w:t>
      </w:r>
      <w:r>
        <w:t xml:space="preserve">En ese contexto, el Comité recuerda que, a tenor de lo dispuesto en el artículo 2 d), del Protocolo Facultativo de la Convención, solo corresponde agotar aquellos recursos que tengan una posibilidad razonable de prosperar y que su tramitación no se prolongue injustificadamente. En vista de lo anterior, y tomando en cuenta las limitaciones impuestas al autor en aplicación del Procedimiento Especial para Inimputables, el Comité considera que el autor realizó esfuerzos suficientes para plantear sus reclamos ante las autoridades domésticas. Por consiguiente, la comunicación es admisible en virtud del artículo 2 d) del Protocolo Facultativo. </w:t>
      </w:r>
    </w:p>
    <w:p w:rsidR="003212CC" w:rsidRPr="0029628D" w:rsidRDefault="003212CC" w:rsidP="003212CC">
      <w:pPr>
        <w:pStyle w:val="SingleTxtG"/>
      </w:pPr>
      <w:r>
        <w:t>9.6</w:t>
      </w:r>
      <w:r w:rsidRPr="0029628D">
        <w:tab/>
        <w:t xml:space="preserve">En consecuencia, y en ausencia de otros obstáculos a la admisibilidad, el Comité declara la comunicación admisible </w:t>
      </w:r>
      <w:r>
        <w:t xml:space="preserve">de conformidad al artículo 2 del Protocolo Facultativo, </w:t>
      </w:r>
      <w:r w:rsidRPr="0029628D">
        <w:t xml:space="preserve">en lo referente a </w:t>
      </w:r>
      <w:r>
        <w:t xml:space="preserve">las alegaciones del autor con relación a la violación de </w:t>
      </w:r>
      <w:r w:rsidRPr="0029628D">
        <w:t>los artículos 5;</w:t>
      </w:r>
      <w:r>
        <w:t xml:space="preserve"> 9;</w:t>
      </w:r>
      <w:r w:rsidRPr="0029628D">
        <w:t xml:space="preserve"> 12; 13; </w:t>
      </w:r>
      <w:r>
        <w:t xml:space="preserve">y </w:t>
      </w:r>
      <w:r w:rsidRPr="0029628D">
        <w:t>14</w:t>
      </w:r>
      <w:r>
        <w:t xml:space="preserve"> leídos conjuntamente con el artículo 4 de la Convención y </w:t>
      </w:r>
      <w:r w:rsidRPr="0029628D">
        <w:t>procede a examinarlas en cuanto al fondo.</w:t>
      </w:r>
    </w:p>
    <w:p w:rsidR="003212CC" w:rsidRPr="0029628D" w:rsidRDefault="003212CC" w:rsidP="003212CC">
      <w:pPr>
        <w:pStyle w:val="H23G"/>
      </w:pPr>
      <w:r>
        <w:tab/>
      </w:r>
      <w:r>
        <w:tab/>
      </w:r>
      <w:r w:rsidRPr="0029628D">
        <w:t>Examen de la cuestión en cuanto al fondo</w:t>
      </w:r>
    </w:p>
    <w:p w:rsidR="003212CC" w:rsidRDefault="003212CC" w:rsidP="003212CC">
      <w:pPr>
        <w:pStyle w:val="SingleTxtG"/>
      </w:pPr>
      <w:r>
        <w:t>10</w:t>
      </w:r>
      <w:r w:rsidRPr="0029628D">
        <w:t>.1</w:t>
      </w:r>
      <w:r>
        <w:tab/>
      </w:r>
      <w:r w:rsidRPr="0029628D">
        <w:t>El Comité ha examinado la presente comunicación teniendo en cuenta toda la información recibida, de conformidad con lo dispuesto en el artículo 5 del Protocolo Facultativo y el artículo 73, párrafo 1, del reglamento del Comité.</w:t>
      </w:r>
    </w:p>
    <w:p w:rsidR="003212CC" w:rsidRPr="0029628D" w:rsidRDefault="003212CC" w:rsidP="003212CC">
      <w:pPr>
        <w:pStyle w:val="SingleTxtG"/>
      </w:pPr>
      <w:r>
        <w:t>10</w:t>
      </w:r>
      <w:r w:rsidRPr="0029628D">
        <w:t>.2</w:t>
      </w:r>
      <w:r w:rsidRPr="0029628D">
        <w:tab/>
        <w:t>En lo que respecta a la</w:t>
      </w:r>
      <w:r>
        <w:t>s alegaciones de violación d</w:t>
      </w:r>
      <w:r w:rsidRPr="0029628D">
        <w:t>el artículo 5</w:t>
      </w:r>
      <w:r>
        <w:t xml:space="preserve"> leído conjuntamente con el artículo 4</w:t>
      </w:r>
      <w:r w:rsidRPr="0029628D">
        <w:t xml:space="preserve"> de la Convención, el Comité </w:t>
      </w:r>
      <w:r>
        <w:t xml:space="preserve">nota que, </w:t>
      </w:r>
      <w:r w:rsidR="00EF0FB6">
        <w:t>según</w:t>
      </w:r>
      <w:r>
        <w:t xml:space="preserve"> </w:t>
      </w:r>
      <w:r w:rsidR="00EF0FB6">
        <w:t xml:space="preserve">el </w:t>
      </w:r>
      <w:r>
        <w:t>autor, la aplicación del procedimiento especial para inimputables es discriminatoria en contra de las personas con discapacidad y que, al aplicarse dicho procedimiento, se restringen los derechos de las personas con discapacidad al momento de ser juzgados. El Comité también nota que, según el Estado parte, la aplicación del procedimiento especial para inimputables no implicó que el autor fuera tratado de forma distinta por su discapacidad, pero que se le otorgaron las herramientas necesarias para facilitarle el seguimiento de su proceso, así como los mismos derechos que tiene cualquier persona frente a un procedimiento jurisdiccional.</w:t>
      </w:r>
      <w:r w:rsidR="0024508D">
        <w:t xml:space="preserve"> </w:t>
      </w:r>
      <w:r>
        <w:t xml:space="preserve"> </w:t>
      </w:r>
    </w:p>
    <w:p w:rsidR="003212CC" w:rsidRPr="0029628D" w:rsidRDefault="003212CC" w:rsidP="003212CC">
      <w:pPr>
        <w:pStyle w:val="SingleTxtG"/>
      </w:pPr>
      <w:r>
        <w:t>10</w:t>
      </w:r>
      <w:r w:rsidRPr="00C24D89">
        <w:t>.3</w:t>
      </w:r>
      <w:r w:rsidRPr="00C24D89">
        <w:tab/>
        <w:t>El Comité recuerda que, el artículo 5 de la Convención</w:t>
      </w:r>
      <w:r w:rsidR="00EF0FB6">
        <w:t xml:space="preserve"> dispone que </w:t>
      </w:r>
      <w:r w:rsidRPr="00C24D89">
        <w:t>los Estados partes</w:t>
      </w:r>
      <w:r>
        <w:t xml:space="preserve"> deben</w:t>
      </w:r>
      <w:r w:rsidRPr="00C24D89">
        <w:t xml:space="preserve"> reconoce</w:t>
      </w:r>
      <w:r>
        <w:t>r</w:t>
      </w:r>
      <w:r w:rsidRPr="00C24D89">
        <w:t xml:space="preserve"> que todas las personas </w:t>
      </w:r>
      <w:r>
        <w:t>son</w:t>
      </w:r>
      <w:r w:rsidRPr="00C24D89">
        <w:t xml:space="preserve"> iguales ante la ley</w:t>
      </w:r>
      <w:r>
        <w:t xml:space="preserve">, </w:t>
      </w:r>
      <w:r w:rsidRPr="00C24D89">
        <w:t>y tienen derecho a igual protección legal y a beneficiarse de la ley sin discriminación alguna</w:t>
      </w:r>
      <w:r>
        <w:t>. L</w:t>
      </w:r>
      <w:r w:rsidRPr="00C24D89">
        <w:t>os Estados partes deben adoptar todas las medidas pertinentes para asegurar la realización de ajustes razonables a fin de promover la igualdad y eliminar la discriminación. El Comité recuerda también que la discriminación puede ser consecuencia del efecto discriminatorio de una norma o medida carente de la intención de discriminar pero que afecte desproporcionadamente a las personas con discapacidad</w:t>
      </w:r>
      <w:r w:rsidRPr="0029628D">
        <w:rPr>
          <w:rStyle w:val="Refdenotaalpie"/>
        </w:rPr>
        <w:footnoteReference w:id="19"/>
      </w:r>
      <w:r w:rsidRPr="0029628D">
        <w:t xml:space="preserve">. En el presente caso, el </w:t>
      </w:r>
      <w:r>
        <w:t xml:space="preserve">procedimiento especial para inimputables, contenido en el Código de Procedimientos Penales del Distrito Federal, establece las reglas a seguirse dentro de un proceso penal contra una persona con discapacidad psicosocial e intelectual. </w:t>
      </w:r>
      <w:r w:rsidRPr="0029628D">
        <w:t xml:space="preserve">Por consiguiente, la cuestión que ha de </w:t>
      </w:r>
      <w:r w:rsidRPr="00C24D89">
        <w:t xml:space="preserve">determinar el Comité es si el trato diferenciado de conformidad al procedimiento especial para inimputables que fue aplicado al autor </w:t>
      </w:r>
      <w:r>
        <w:t>fue</w:t>
      </w:r>
      <w:r w:rsidRPr="00C24D89">
        <w:t xml:space="preserve"> discriminatorio.</w:t>
      </w:r>
      <w:r w:rsidRPr="0029628D">
        <w:t xml:space="preserve"> </w:t>
      </w:r>
    </w:p>
    <w:p w:rsidR="003212CC" w:rsidRPr="0029628D" w:rsidRDefault="003212CC" w:rsidP="003212CC">
      <w:pPr>
        <w:pStyle w:val="SingleTxtG"/>
      </w:pPr>
      <w:r>
        <w:t>10</w:t>
      </w:r>
      <w:r w:rsidRPr="0029628D">
        <w:t>.4</w:t>
      </w:r>
      <w:r w:rsidRPr="0029628D">
        <w:tab/>
        <w:t>El Comité observa que, en virtud de</w:t>
      </w:r>
      <w:r>
        <w:t>l procedimiento especial, la autoridad judicial debe certificar la forma de conducirse y expresarse del inimputable</w:t>
      </w:r>
      <w:r w:rsidR="00EF0FB6">
        <w:t xml:space="preserve">, </w:t>
      </w:r>
      <w:r>
        <w:t xml:space="preserve"> nombrarle un defensor y decretar el auto de sujeción a procedimiento especial para inimputable permanente. Se determina que para examinar “el grado de inimputabilidad o de insania mental, el juzgador “podrá prever lo conducente”. En el presente caso, el autor fue acusado el día 14 de septiembre de 2011 de haber robado un vehículo. Dentro de las actuaciones llevadas a cabo tanto por la Fiscalía como por el Tribunal de lo Penal, se determinó que era procedente aplicarle el procedimiento especial para inimputable basándose en la valoración realizada por un perito médico forense según la cual el autor presenta un “trastorno social de la personalidad” y un “posible retraso superficial”, por lo que “no es apto para declarar”. Según consta en la documentación presentada por el autor, nunca tuvo la posibilidad de declarar ni de contradecir las declaraciones de los agentes de policía que lo capturaron. Tampoco pudo nombrar su propio defensor ya que éste le fue asignado por la autoridad judicial. Además, no se le proporcionó el apoyo o ajustes razonables para que pueda ejercer su defensa material. La documentación presentada también demuestra que el autor nunca fue convocado a las audiencias llevadas a cabo durante su proceso penal</w:t>
      </w:r>
      <w:r w:rsidRPr="0029628D">
        <w:t xml:space="preserve">. </w:t>
      </w:r>
      <w:r>
        <w:t>En razón de su discapacidad psicosocial e intelectual, se le aplicó un procedimiento especial que le impidió participar de forma directa y presentar recursos; y en el cual no fueron garantizados sus derechos al debido proceso.</w:t>
      </w:r>
      <w:r w:rsidR="004A3134">
        <w:t xml:space="preserve"> </w:t>
      </w:r>
      <w:r w:rsidR="00EF0FB6">
        <w:t>Si bien el Comité reconoce que en determinados casos puede haber excepciones a las garantías del debido proceso</w:t>
      </w:r>
      <w:r w:rsidR="004A3134">
        <w:rPr>
          <w:rStyle w:val="Refdenotaalpie"/>
        </w:rPr>
        <w:footnoteReference w:id="20"/>
      </w:r>
      <w:r w:rsidR="00EF0FB6">
        <w:t>, advierte que en el presente caso no existe razón</w:t>
      </w:r>
      <w:r w:rsidR="00211390">
        <w:t xml:space="preserve"> alguna</w:t>
      </w:r>
      <w:r w:rsidR="00EF0FB6">
        <w:t xml:space="preserve"> que justifique su incumplimiento</w:t>
      </w:r>
      <w:r w:rsidR="004A3134">
        <w:t>.</w:t>
      </w:r>
      <w:r w:rsidR="00EF0FB6">
        <w:t xml:space="preserve"> </w:t>
      </w:r>
      <w:r w:rsidR="004A3134">
        <w:t xml:space="preserve">Asimismo, el </w:t>
      </w:r>
      <w:r>
        <w:t xml:space="preserve">procedimiento tampoco garantizó que se adoptaran ajustes de procedimiento para el autor. </w:t>
      </w:r>
      <w:r w:rsidRPr="0029628D">
        <w:t xml:space="preserve">Por consiguiente, el Comité considera que </w:t>
      </w:r>
      <w:r>
        <w:t>la aplicación del procedimiento especial para inimputables, contenido en el Código de Procedimientos Penales para el Distrito Federal,</w:t>
      </w:r>
      <w:r w:rsidRPr="0029628D">
        <w:t xml:space="preserve"> dio lugar a un trato discriminatorio </w:t>
      </w:r>
      <w:r>
        <w:t xml:space="preserve">en contra </w:t>
      </w:r>
      <w:r w:rsidRPr="0029628D">
        <w:t>del autor, en violación del artículo 5</w:t>
      </w:r>
      <w:r>
        <w:t xml:space="preserve">, leído conjuntamente con el artículo 4 </w:t>
      </w:r>
      <w:r w:rsidRPr="0029628D">
        <w:t>de la Convención.</w:t>
      </w:r>
    </w:p>
    <w:p w:rsidR="003212CC" w:rsidRDefault="003212CC" w:rsidP="003212CC">
      <w:pPr>
        <w:pStyle w:val="SingleTxtG"/>
      </w:pPr>
      <w:r>
        <w:t>10</w:t>
      </w:r>
      <w:r w:rsidRPr="0029628D">
        <w:t>.5</w:t>
      </w:r>
      <w:r>
        <w:tab/>
      </w:r>
      <w:r w:rsidRPr="0029628D">
        <w:t>En cuanto a las alegaciones relacionadas con</w:t>
      </w:r>
      <w:r>
        <w:t xml:space="preserve"> el </w:t>
      </w:r>
      <w:r w:rsidRPr="0029628D">
        <w:t>artículo</w:t>
      </w:r>
      <w:r>
        <w:t xml:space="preserve"> 9, leído conjuntamente con el artículo 4, el Comité toma nota de la pretensión del autor que el Estado parte ha incumplido su obligación de asegurar la accesibilidad de la información durante el proceso penal ya que en la actualidad no existe información en formato accesible sobre la legislación penal. El Comité nota que el Estado parte ha omitido señalar en qué medida se ha facilitado la información relativa al proceso penal que se llevó a cabo en contra del autor en un formato accesible. Según lo establecido en el artículo 9, párrafos 1 y 2, literal f) de la Convención</w:t>
      </w:r>
      <w:r w:rsidRPr="0029628D">
        <w:t>,</w:t>
      </w:r>
      <w:r>
        <w:t xml:space="preserve"> los Estados partes deben adoptar las medidas pertinentes para asegurar el acceso de las personas con discapacidad, en igualdad de condiciones con las demás, a la información y para promover formas adecuadas de asistencia y apoyo a las personas con discapacidad para asegurar el acceso a la información. En el presente caso, el Comité advierte que </w:t>
      </w:r>
      <w:r w:rsidR="00255686">
        <w:t xml:space="preserve">debido a su discapacidad intelectual y psicosocial </w:t>
      </w:r>
      <w:r>
        <w:t>el autor no fue tomado en cuenta dentro del proceso</w:t>
      </w:r>
      <w:r w:rsidR="00255686">
        <w:t xml:space="preserve"> y</w:t>
      </w:r>
      <w:r>
        <w:t xml:space="preserve"> no tuvo acceso a la información relacionada con el mismo. Toda la información relativa al procedimiento y actuaciones judiciales fue proporcionada al defensor de oficio. El Comité también advierte que la solicitud realizada por el autor al Juez de Distrito de Amparo de redactar una versión sencilla de las resoluciones le fue denegada </w:t>
      </w:r>
      <w:r w:rsidR="005675E2">
        <w:t xml:space="preserve">por encontrarse </w:t>
      </w:r>
      <w:r>
        <w:t xml:space="preserve">“debidamente asistido por los abogados que él había designado”. Solo una de las resoluciones emitidas por el Tribunal Colegiado en materia penal fue redactada en versión accesible. Por las razones expuestas, el Comité considera que la falta de participación del autor dentro del proceso penal que se llevó en su contra y la denegación de redactar una versión sencilla de las resoluciones emitidas en el juicio de amparo, constituyen una violación del artículo 9, leído conjuntamente con el artículo 4 de la Convención. </w:t>
      </w:r>
    </w:p>
    <w:p w:rsidR="003212CC" w:rsidRPr="0029628D" w:rsidRDefault="004A331F" w:rsidP="003212CC">
      <w:pPr>
        <w:pStyle w:val="SingleTxtG"/>
      </w:pPr>
      <w:r>
        <w:t>10</w:t>
      </w:r>
      <w:r w:rsidR="003212CC">
        <w:t>.6</w:t>
      </w:r>
      <w:r w:rsidR="003212CC">
        <w:tab/>
        <w:t xml:space="preserve">El Comité también toma nota de las alegaciones del autor que al haber sido considerado como inimputable, no le fue reconocida su capacidad jurídica para enfrentar un proceso penal en igualdad de condiciones con los demás. Al respecto, </w:t>
      </w:r>
      <w:r w:rsidR="003212CC" w:rsidRPr="0029628D">
        <w:t>recuerda que, a tenor de</w:t>
      </w:r>
      <w:r w:rsidR="003212CC">
        <w:t xml:space="preserve"> lo dispuesto en el artículo 12</w:t>
      </w:r>
      <w:r w:rsidR="003212CC" w:rsidRPr="0029628D">
        <w:t xml:space="preserve">, los Estados partes tienen la obligación de reconocer que las personas con discapacidad tienen capacidad jurídica en igualdad de condiciones con las demás en todos los aspectos de la vida. </w:t>
      </w:r>
      <w:r w:rsidR="003212CC">
        <w:t>Además,</w:t>
      </w:r>
      <w:r w:rsidR="003212CC" w:rsidRPr="0029628D">
        <w:t xml:space="preserve"> tienen la obligación de proporcionar acceso a las personas con discapacidad al apoyo que puedan necesitar en el ejercicio de su capacidad jurídica.</w:t>
      </w:r>
      <w:r w:rsidR="003212CC">
        <w:t xml:space="preserve"> Según, el Estado parte la determinación de sujetar al autor al procedimiento especial para inimputables fue basada en la comprensión que tenía del ilícito cometido y no significa que se decidiera sobre su capacidad jurídica. El Comité considera que al haberse declarado al autor como “no apto para declarar”</w:t>
      </w:r>
      <w:r w:rsidR="003212CC" w:rsidRPr="0029628D">
        <w:t>, se le privó de la posibilidad de ejercer su capacidad jurídica para declararse inocente</w:t>
      </w:r>
      <w:r w:rsidR="003212CC">
        <w:t xml:space="preserve">, </w:t>
      </w:r>
      <w:r w:rsidR="003212CC" w:rsidRPr="0029628D">
        <w:t>impugnar la</w:t>
      </w:r>
      <w:r w:rsidR="003212CC">
        <w:t>s</w:t>
      </w:r>
      <w:r w:rsidR="003212CC" w:rsidRPr="0029628D">
        <w:t xml:space="preserve"> pruebas presentadas contra él,</w:t>
      </w:r>
      <w:r w:rsidR="003212CC">
        <w:t xml:space="preserve"> designar al abogado defensor de su elección e impugnar las resoluciones que le perjudicaron. </w:t>
      </w:r>
      <w:r w:rsidR="003212CC" w:rsidRPr="0029628D">
        <w:t>El Comité considera que, si bien los Estados parte tienen cierto margen de apreciación para determinar los arreglos de procedimiento que permiten a las personas con discapacidad ejercer su capacidad jurídica</w:t>
      </w:r>
      <w:r w:rsidR="003212CC" w:rsidRPr="0029628D">
        <w:rPr>
          <w:rStyle w:val="Refdenotaalpie"/>
        </w:rPr>
        <w:footnoteReference w:id="21"/>
      </w:r>
      <w:r w:rsidR="00252175">
        <w:t>,</w:t>
      </w:r>
      <w:r w:rsidR="003212CC">
        <w:t xml:space="preserve"> deben respetarse los derechos y las garantías procesales </w:t>
      </w:r>
      <w:r w:rsidR="003212CC" w:rsidRPr="0029628D">
        <w:t>del interesado</w:t>
      </w:r>
      <w:r w:rsidR="003212CC">
        <w:t>. E</w:t>
      </w:r>
      <w:r w:rsidR="003212CC" w:rsidRPr="0029628D">
        <w:t>n el caso del autor, no tuvo esa posibilidad</w:t>
      </w:r>
      <w:r w:rsidR="003212CC">
        <w:t>,</w:t>
      </w:r>
      <w:r w:rsidR="003212CC" w:rsidRPr="0029628D">
        <w:t xml:space="preserve"> ni recibió el apoyo o los ajustes adecuados para ejercer su</w:t>
      </w:r>
      <w:r w:rsidR="003212CC">
        <w:t>s</w:t>
      </w:r>
      <w:r w:rsidR="003212CC" w:rsidRPr="0029628D">
        <w:t xml:space="preserve"> derecho</w:t>
      </w:r>
      <w:r w:rsidR="003212CC">
        <w:t>s. El Comité recuerda que de conformidad con su Observación General N°1 (2014), para que las personas con discapacidad puedan exigir el cumplimiento de sus derechos y obligaciones en igualdad de condiciones con las demás, debe reconocérseles la personalidad jurídica con la misma capacidad ante las cortes de justicia y los tribunales</w:t>
      </w:r>
      <w:r w:rsidR="003212CC">
        <w:rPr>
          <w:rStyle w:val="Refdenotaalpie"/>
        </w:rPr>
        <w:footnoteReference w:id="22"/>
      </w:r>
      <w:r w:rsidR="00252175">
        <w:t>.</w:t>
      </w:r>
      <w:r w:rsidR="003212CC" w:rsidRPr="0029628D">
        <w:t xml:space="preserve"> </w:t>
      </w:r>
      <w:r w:rsidR="003212CC">
        <w:t>Por lo tanto</w:t>
      </w:r>
      <w:r w:rsidR="003212CC" w:rsidRPr="0029628D">
        <w:t>, el Comité considera que la situación que está examinand</w:t>
      </w:r>
      <w:r w:rsidR="003212CC">
        <w:t xml:space="preserve">o constituye una violación del artículo 12, leído conjuntamente con el artículo 4 de </w:t>
      </w:r>
      <w:r w:rsidR="003212CC" w:rsidRPr="0029628D">
        <w:t>la Convención.</w:t>
      </w:r>
    </w:p>
    <w:p w:rsidR="003212CC" w:rsidRDefault="003212CC" w:rsidP="003212CC">
      <w:pPr>
        <w:pStyle w:val="SingleTxtG"/>
      </w:pPr>
      <w:r>
        <w:t>10</w:t>
      </w:r>
      <w:r w:rsidRPr="0029628D">
        <w:t>.7</w:t>
      </w:r>
      <w:r>
        <w:tab/>
        <w:t xml:space="preserve">En cuanto a la violación </w:t>
      </w:r>
      <w:r w:rsidR="00F33A99">
        <w:t>d</w:t>
      </w:r>
      <w:r>
        <w:t>el artículo 13</w:t>
      </w:r>
      <w:r w:rsidR="005A7E43">
        <w:t>,</w:t>
      </w:r>
      <w:r>
        <w:t xml:space="preserve"> leído conjuntamente con el artículo 4</w:t>
      </w:r>
      <w:r w:rsidRPr="00411DC9">
        <w:t xml:space="preserve"> </w:t>
      </w:r>
      <w:r>
        <w:t xml:space="preserve">de la Convención, el Comité toma nota que, según el autor, fue excluido del proceso penal que se llevó a cabo en su contra. </w:t>
      </w:r>
      <w:r w:rsidR="00740447">
        <w:t>Asimismo</w:t>
      </w:r>
      <w:r>
        <w:t xml:space="preserve">, </w:t>
      </w:r>
      <w:r w:rsidR="00740447">
        <w:t>toma</w:t>
      </w:r>
      <w:r>
        <w:t xml:space="preserve"> nota de los argumentos expuestos por el Estado parte, según los cuales la determinación de aplicar al autor el procedimiento especial para inimputables se basó en los certificados médicos, con el fin de garantizar</w:t>
      </w:r>
      <w:r w:rsidR="00740447">
        <w:t xml:space="preserve"> al autor </w:t>
      </w:r>
      <w:r>
        <w:t>el acceso a la justicia en igualdad de condiciones con los demás</w:t>
      </w:r>
      <w:r w:rsidR="00740447">
        <w:t xml:space="preserve">. </w:t>
      </w:r>
      <w:r w:rsidR="001A3F7E">
        <w:t>El</w:t>
      </w:r>
      <w:r w:rsidR="00740447">
        <w:t xml:space="preserve"> Comité </w:t>
      </w:r>
      <w:r w:rsidR="00740447">
        <w:rPr>
          <w:lang w:val="es-419"/>
        </w:rPr>
        <w:t xml:space="preserve">considera </w:t>
      </w:r>
      <w:r w:rsidR="001A3F7E">
        <w:rPr>
          <w:lang w:val="es-419"/>
        </w:rPr>
        <w:t xml:space="preserve">que no </w:t>
      </w:r>
      <w:r w:rsidR="00E23FAA">
        <w:rPr>
          <w:lang w:val="es-419"/>
        </w:rPr>
        <w:t xml:space="preserve">se ha </w:t>
      </w:r>
      <w:r w:rsidR="001A3F7E">
        <w:rPr>
          <w:lang w:val="es-419"/>
        </w:rPr>
        <w:t>cumpli</w:t>
      </w:r>
      <w:r w:rsidR="00E23FAA">
        <w:rPr>
          <w:lang w:val="es-419"/>
        </w:rPr>
        <w:t>do</w:t>
      </w:r>
      <w:r w:rsidR="001A3F7E">
        <w:rPr>
          <w:lang w:val="es-419"/>
        </w:rPr>
        <w:t xml:space="preserve"> con este objetivo ya </w:t>
      </w:r>
      <w:r w:rsidR="00740447">
        <w:rPr>
          <w:lang w:val="es-419"/>
        </w:rPr>
        <w:t xml:space="preserve">que </w:t>
      </w:r>
      <w:r w:rsidR="001A3F7E">
        <w:rPr>
          <w:lang w:val="es-419"/>
        </w:rPr>
        <w:t xml:space="preserve">de la información proporcionada no se puede concluir que </w:t>
      </w:r>
      <w:r w:rsidR="00E23FAA">
        <w:rPr>
          <w:lang w:val="es-419"/>
        </w:rPr>
        <w:t>la actuación d</w:t>
      </w:r>
      <w:r w:rsidR="001A3F7E">
        <w:rPr>
          <w:lang w:val="es-419"/>
        </w:rPr>
        <w:t xml:space="preserve">el abogado designado haya permitido </w:t>
      </w:r>
      <w:r w:rsidR="005A7E43">
        <w:rPr>
          <w:lang w:val="es-419"/>
        </w:rPr>
        <w:t>al autor</w:t>
      </w:r>
      <w:r w:rsidR="001A3F7E">
        <w:rPr>
          <w:lang w:val="es-419"/>
        </w:rPr>
        <w:t xml:space="preserve"> participar </w:t>
      </w:r>
      <w:r w:rsidR="005A7E43">
        <w:rPr>
          <w:lang w:val="es-419"/>
        </w:rPr>
        <w:t xml:space="preserve">de manera efectiva </w:t>
      </w:r>
      <w:r w:rsidR="001A3F7E">
        <w:rPr>
          <w:lang w:val="es-419"/>
        </w:rPr>
        <w:t xml:space="preserve">en </w:t>
      </w:r>
      <w:r w:rsidR="005A7E43">
        <w:rPr>
          <w:lang w:val="es-419"/>
        </w:rPr>
        <w:t>los</w:t>
      </w:r>
      <w:r w:rsidR="001A3F7E">
        <w:rPr>
          <w:lang w:val="es-419"/>
        </w:rPr>
        <w:t xml:space="preserve"> procedimiento</w:t>
      </w:r>
      <w:r w:rsidR="005A7E43">
        <w:rPr>
          <w:lang w:val="es-419"/>
        </w:rPr>
        <w:t>s</w:t>
      </w:r>
      <w:r w:rsidR="00740447">
        <w:rPr>
          <w:lang w:val="es-419"/>
        </w:rPr>
        <w:t>. Además,</w:t>
      </w:r>
      <w:r>
        <w:t xml:space="preserve"> recuerda que según el artículo 13 de la Convención, los Estados partes tienen la obligación de asegurar que las personas con discapacidad tengan acceso a la justicia en igualdad de condiciones con las demás, incluso mediante ajustes de procedimiento, para facilitar el desempeño de las funciones efectivas de esas personas como participantes directos e indirectos, en todos los procedimientos judiciales. </w:t>
      </w:r>
      <w:r w:rsidR="00740447">
        <w:t>E</w:t>
      </w:r>
      <w:r>
        <w:t xml:space="preserve">n </w:t>
      </w:r>
      <w:r w:rsidR="001A3F7E">
        <w:t>este</w:t>
      </w:r>
      <w:r>
        <w:t xml:space="preserve"> caso, en repetidas ocasiones las autoridades judiciales denegaron al autor la posibilidad de ejercer sus derechos</w:t>
      </w:r>
      <w:r w:rsidR="00740447">
        <w:t xml:space="preserve"> ya que</w:t>
      </w:r>
      <w:r>
        <w:t xml:space="preserve"> (i) el autor, desde el inicio del proceso penal, no tuvo la posibilidad de participar en el procedimiento judicial, no se le permitió declarar, ni rebatir las pruebas presentadas, ni estar presente en las audiencias judiciales; (ii) no se le notificaron las resoluciones emitidas; (iii) en los intentos realizados por el autor para intervenir en el proceso, como cuando presentó un recurso de apelación en contra de la resolución emitida por el Juez Noveno Penal del 22 de septiembre de 2011, y cuando solicitó que se revocara el nombramiento del defensor de oficio a fin de designar un nuevo defensor particular, el juez le denegó esta posibilidad; (iv) la aplicación del procedimiento especial para inimputables no garantizó la adopción de ajustes de procedimiento que permitieran al autor acceder</w:t>
      </w:r>
      <w:r w:rsidRPr="00A60E9E">
        <w:rPr>
          <w:rFonts w:ascii="TimesNewRoman" w:hAnsi="TimesNewRoman" w:cs="TimesNewRoman"/>
          <w:lang w:val="es-EC" w:eastAsia="zh-CN"/>
        </w:rPr>
        <w:t xml:space="preserve"> a la justicia en igualdad de co</w:t>
      </w:r>
      <w:r w:rsidRPr="0083133D">
        <w:rPr>
          <w:rFonts w:ascii="TimesNewRoman" w:hAnsi="TimesNewRoman" w:cs="TimesNewRoman"/>
          <w:lang w:val="es-EC" w:eastAsia="zh-CN"/>
        </w:rPr>
        <w:t>ndiciones con l</w:t>
      </w:r>
      <w:r>
        <w:rPr>
          <w:rFonts w:ascii="TimesNewRoman" w:hAnsi="TimesNewRoman" w:cs="TimesNewRoman"/>
          <w:lang w:val="es-EC" w:eastAsia="zh-CN"/>
        </w:rPr>
        <w:t>o</w:t>
      </w:r>
      <w:r w:rsidRPr="0083133D">
        <w:rPr>
          <w:rFonts w:ascii="TimesNewRoman" w:hAnsi="TimesNewRoman" w:cs="TimesNewRoman"/>
          <w:lang w:val="es-EC" w:eastAsia="zh-CN"/>
        </w:rPr>
        <w:t>s demás</w:t>
      </w:r>
      <w:r>
        <w:t xml:space="preserve">. Incluso al momento de subsanar la falta de notificación de la sentencia definitiva, el tribunal ordenó se realizara nuevamente la notificación a través de su representante legal, negándole la posibilidad de ser parte activa dentro del proceso. Por lo tanto, el Comité considera que el Estado parte ha violado el artículo 13, leído conjuntamente con el artículo 4 de la Convención. </w:t>
      </w:r>
    </w:p>
    <w:p w:rsidR="003212CC" w:rsidRPr="0029628D" w:rsidRDefault="004A331F" w:rsidP="003212CC">
      <w:pPr>
        <w:pStyle w:val="SingleTxtG"/>
      </w:pPr>
      <w:r>
        <w:t>10</w:t>
      </w:r>
      <w:r w:rsidR="003212CC">
        <w:t>.8</w:t>
      </w:r>
      <w:r w:rsidR="003212CC">
        <w:tab/>
      </w:r>
      <w:r w:rsidR="003212CC" w:rsidRPr="0029628D">
        <w:t xml:space="preserve">En cuanto a las afirmaciones del autor relacionadas con su privación de libertad, el Comité reafirma que la libertad y la seguridad de la persona es uno de los más valiosos derechos de los que se puede disfrutar. </w:t>
      </w:r>
      <w:r w:rsidR="003212CC">
        <w:t>T</w:t>
      </w:r>
      <w:r w:rsidR="003212CC" w:rsidRPr="0029628D">
        <w:t>odas las personas con discapacidad y, en especial, las personas con discapacidad intelectual y psicosocial, tienen derecho a la libertad de conformidad con el artículo 14 de la Convención</w:t>
      </w:r>
      <w:r w:rsidR="003212CC" w:rsidRPr="005B7F5C">
        <w:rPr>
          <w:vertAlign w:val="superscript"/>
        </w:rPr>
        <w:footnoteReference w:id="23"/>
      </w:r>
      <w:r w:rsidR="00252175">
        <w:t>.</w:t>
      </w:r>
      <w:r w:rsidR="003212CC" w:rsidRPr="0029628D">
        <w:t xml:space="preserve"> En el presente caso, el Comité observa que</w:t>
      </w:r>
      <w:r w:rsidR="003212CC">
        <w:t xml:space="preserve"> se impuso una medida de seguridad provisional al autor desde el inicio del proceso penal y luego al haberlo condenado (medida de seguridad e internamiento de cuatro años). </w:t>
      </w:r>
      <w:r w:rsidR="004A3134">
        <w:t>Aun cuando e</w:t>
      </w:r>
      <w:r w:rsidR="003212CC">
        <w:t xml:space="preserve">l juez que determinó su responsabilidad penal </w:t>
      </w:r>
      <w:r w:rsidR="004A3134">
        <w:t xml:space="preserve">estimó que </w:t>
      </w:r>
      <w:r w:rsidR="003212CC">
        <w:t xml:space="preserve">el grado de peligrosidad del autor </w:t>
      </w:r>
      <w:r w:rsidR="004A3134">
        <w:t>era</w:t>
      </w:r>
      <w:r w:rsidR="003212CC">
        <w:t xml:space="preserve"> “mínimo”</w:t>
      </w:r>
      <w:r w:rsidR="004A3134">
        <w:t xml:space="preserve">, </w:t>
      </w:r>
      <w:r w:rsidR="003212CC">
        <w:t xml:space="preserve">decidió internarlo en </w:t>
      </w:r>
      <w:r w:rsidR="004A3134">
        <w:t xml:space="preserve">el </w:t>
      </w:r>
      <w:r w:rsidR="003212CC">
        <w:t>área de rehabilitación psicosocial del sistema penal del distrito federal. En tal sentido, el Comité observa que desde el inicio, el internamiento del autor estuvo basado únicamente en los certificados médicos y en la posible peligrosidad que representaba para la sociedad</w:t>
      </w:r>
      <w:r w:rsidR="00252175">
        <w:rPr>
          <w:rStyle w:val="Refdenotaalpie"/>
        </w:rPr>
        <w:footnoteReference w:id="24"/>
      </w:r>
      <w:r w:rsidR="00252175">
        <w:t>.</w:t>
      </w:r>
      <w:r w:rsidR="003212CC">
        <w:t xml:space="preserve"> El Comité recuerda que según el artículo 14, 1, b) de la Convención, </w:t>
      </w:r>
      <w:r w:rsidR="003212CC" w:rsidRPr="0029628D">
        <w:t xml:space="preserve">“la existencia de una discapacidad no </w:t>
      </w:r>
      <w:proofErr w:type="spellStart"/>
      <w:r w:rsidR="003212CC" w:rsidRPr="0029628D">
        <w:t>justifi</w:t>
      </w:r>
      <w:proofErr w:type="spellEnd"/>
      <w:r w:rsidR="003212CC" w:rsidRPr="0029628D">
        <w:t>[</w:t>
      </w:r>
      <w:proofErr w:type="spellStart"/>
      <w:r w:rsidR="003212CC" w:rsidRPr="0029628D">
        <w:t>ca</w:t>
      </w:r>
      <w:proofErr w:type="spellEnd"/>
      <w:r w:rsidR="003212CC" w:rsidRPr="0029628D">
        <w:t>] en ningún caso una privación de la libertad”</w:t>
      </w:r>
      <w:r w:rsidR="003212CC">
        <w:t>.</w:t>
      </w:r>
      <w:r w:rsidR="00BB2761">
        <w:t xml:space="preserve"> De la misma manera, según los </w:t>
      </w:r>
      <w:r w:rsidR="003212CC" w:rsidRPr="00A610C2">
        <w:t>Principios y Directrices Básicos de las Naciones Unidas sobre los Recursos y Procedimientos relacionados con el Derecho de Toda Persona Privada de Libertad a Recurrir ante un Tribunal</w:t>
      </w:r>
      <w:r w:rsidR="003212CC">
        <w:t>, el internamiento basado en una discapacidad psicosocial o intelectual real o percibida está prohibido y l</w:t>
      </w:r>
      <w:r w:rsidR="003212CC" w:rsidRPr="00A610C2">
        <w:rPr>
          <w:lang w:val="es-ES_tradnl"/>
        </w:rPr>
        <w:t>os Estados deben adoptar todas las medidas necesarias para prevenir y reparar los internamientos involuntarios o basados en la discapacidad</w:t>
      </w:r>
      <w:r w:rsidR="003212CC">
        <w:rPr>
          <w:lang w:val="es-ES_tradnl"/>
        </w:rPr>
        <w:t xml:space="preserve">. De acuerdo, a la documentación presentada, el argumento principal utilizado para justificar el internamiento del autor fue que es una persona con discapacidad que necesitaba un tratamiento médico. </w:t>
      </w:r>
      <w:r w:rsidR="003212CC">
        <w:t xml:space="preserve">El Comité advierte además que la solicitud de </w:t>
      </w:r>
      <w:proofErr w:type="spellStart"/>
      <w:r w:rsidR="003212CC">
        <w:t>externamiento</w:t>
      </w:r>
      <w:proofErr w:type="spellEnd"/>
      <w:r w:rsidR="003212CC">
        <w:t xml:space="preserve"> que presentaron el autor y su madre fue rechazada por el juez porque no se había determinado como se llevaría a cabo el tratamiento que necesitaba el autor. De esta manera, el Comité observa que la</w:t>
      </w:r>
      <w:r w:rsidR="003212CC" w:rsidRPr="0029628D">
        <w:t xml:space="preserve"> discapacidad</w:t>
      </w:r>
      <w:r w:rsidR="003212CC">
        <w:t xml:space="preserve"> del autor</w:t>
      </w:r>
      <w:r w:rsidR="003212CC" w:rsidRPr="0029628D">
        <w:t xml:space="preserve"> se convirtió en la causa fundamental de su </w:t>
      </w:r>
      <w:r w:rsidR="003212CC">
        <w:t>privación de libertad, así resultando en</w:t>
      </w:r>
      <w:r w:rsidR="003212CC" w:rsidRPr="0029628D">
        <w:t xml:space="preserve"> una violación del artículo 14, párrafo 1 b), de la Convención.</w:t>
      </w:r>
    </w:p>
    <w:p w:rsidR="003212CC" w:rsidRPr="0029628D" w:rsidRDefault="004A331F" w:rsidP="003212CC">
      <w:pPr>
        <w:pStyle w:val="SingleTxtG"/>
      </w:pPr>
      <w:r>
        <w:t>10</w:t>
      </w:r>
      <w:r w:rsidR="003212CC" w:rsidRPr="0029628D">
        <w:t>.</w:t>
      </w:r>
      <w:r w:rsidR="003212CC">
        <w:t>9</w:t>
      </w:r>
      <w:r w:rsidR="003212CC" w:rsidRPr="0029628D">
        <w:tab/>
      </w:r>
      <w:r w:rsidR="003212CC">
        <w:t xml:space="preserve">El Comité recuerda de conformidad con el artículo 4 de la Convención, los Estados partes tienen la obligación general de tomar todas las medidas necesarias para asegurar y promover el pleno ejercicio de todos los derechos humanos y libertades fundamentales de las personas con discapacidad. En ese sentido y en vista de los argumentos expuestos en los párrafos anteriores, </w:t>
      </w:r>
      <w:r w:rsidR="003212CC" w:rsidRPr="0029628D">
        <w:t xml:space="preserve">el Comité </w:t>
      </w:r>
      <w:r w:rsidR="003212CC">
        <w:t>concluye</w:t>
      </w:r>
      <w:r w:rsidR="003212CC" w:rsidRPr="0029628D">
        <w:t xml:space="preserve"> que el Estado parte ha incumplido las obligaciones que le incumben en virtud de los artículos 5, </w:t>
      </w:r>
      <w:r w:rsidR="003212CC">
        <w:t xml:space="preserve">9, 12, 13, 14 y 19, leídos conjuntamente con el artículo 4 de </w:t>
      </w:r>
      <w:r w:rsidR="003212CC" w:rsidRPr="0029628D">
        <w:t xml:space="preserve">la Convención. </w:t>
      </w:r>
    </w:p>
    <w:p w:rsidR="003212CC" w:rsidRPr="0041742E" w:rsidRDefault="003212CC" w:rsidP="003212CC">
      <w:pPr>
        <w:pStyle w:val="H1G"/>
      </w:pPr>
      <w:r w:rsidRPr="0029628D">
        <w:tab/>
      </w:r>
      <w:r w:rsidRPr="0041742E">
        <w:t>C.</w:t>
      </w:r>
      <w:r w:rsidRPr="0041742E">
        <w:tab/>
        <w:t>Conclusión y recomendaciones</w:t>
      </w:r>
    </w:p>
    <w:p w:rsidR="003212CC" w:rsidRPr="0029628D" w:rsidRDefault="004A331F" w:rsidP="003212CC">
      <w:pPr>
        <w:pStyle w:val="SingleTxtG"/>
      </w:pPr>
      <w:r w:rsidRPr="0041742E">
        <w:t>11</w:t>
      </w:r>
      <w:r w:rsidR="003212CC" w:rsidRPr="0041742E">
        <w:t>.</w:t>
      </w:r>
      <w:r w:rsidR="003212CC" w:rsidRPr="0041742E">
        <w:tab/>
        <w:t>El Comité, actuando en virtud del artículo 5 del Protocolo Facultativo, dictamina que el Estado parte ha incumplido las obligaciones que le incumben en virtud de los artículos 5, 9, 12, 13 y 14, leídos conjuntamente con el artículo 4 de la Convención. En consecuencia, el Comité formula las siguientes recomendaciones al Estado parte:</w:t>
      </w:r>
    </w:p>
    <w:p w:rsidR="003212CC" w:rsidRPr="0029628D" w:rsidRDefault="003212CC" w:rsidP="001E35CC">
      <w:pPr>
        <w:pStyle w:val="SingleTxtG"/>
      </w:pPr>
      <w:r w:rsidRPr="0029628D">
        <w:tab/>
        <w:t>a)</w:t>
      </w:r>
      <w:r w:rsidRPr="0029628D">
        <w:tab/>
        <w:t>En lo que respecta al autor: el Estado parte tiene la obligación de:</w:t>
      </w:r>
    </w:p>
    <w:p w:rsidR="003212CC" w:rsidRDefault="001E35CC" w:rsidP="004A331F">
      <w:pPr>
        <w:pStyle w:val="SingleTxtG"/>
        <w:ind w:left="2268" w:right="1140" w:hanging="567"/>
      </w:pPr>
      <w:r>
        <w:tab/>
      </w:r>
      <w:r w:rsidR="003212CC" w:rsidRPr="0029628D">
        <w:t>i)</w:t>
      </w:r>
      <w:r w:rsidR="003212CC" w:rsidRPr="0029628D">
        <w:tab/>
        <w:t xml:space="preserve">Proporcionarle una reparación efectiva, incluido el reembolso de cualesquiera costas judiciales en que haya incurrido, junto con una indemnización; </w:t>
      </w:r>
    </w:p>
    <w:p w:rsidR="003212CC" w:rsidRPr="0029628D" w:rsidRDefault="004A331F" w:rsidP="004A331F">
      <w:pPr>
        <w:pStyle w:val="SingleTxtG"/>
        <w:ind w:left="2268" w:right="1140" w:hanging="567"/>
      </w:pPr>
      <w:r>
        <w:tab/>
        <w:t>ii)</w:t>
      </w:r>
      <w:r>
        <w:tab/>
      </w:r>
      <w:r w:rsidR="003212CC">
        <w:rPr>
          <w:bCs/>
        </w:rPr>
        <w:t>R</w:t>
      </w:r>
      <w:r w:rsidR="003212CC">
        <w:rPr>
          <w:lang w:val="es-ES_tradnl"/>
        </w:rPr>
        <w:t xml:space="preserve">econocer públicamente la violación de los derechos del autor conforme al presente dictamen y adoptar cualquier otra </w:t>
      </w:r>
      <w:r w:rsidR="00BB2761">
        <w:rPr>
          <w:lang w:val="es-ES_tradnl"/>
        </w:rPr>
        <w:t>medida de satisfacción adecuada;</w:t>
      </w:r>
    </w:p>
    <w:p w:rsidR="003212CC" w:rsidRPr="0029628D" w:rsidRDefault="004A331F" w:rsidP="004A331F">
      <w:pPr>
        <w:pStyle w:val="SingleTxtG"/>
        <w:ind w:left="2268" w:right="1140" w:hanging="567"/>
      </w:pPr>
      <w:r>
        <w:tab/>
      </w:r>
      <w:r w:rsidR="003212CC" w:rsidRPr="0029628D">
        <w:t>i</w:t>
      </w:r>
      <w:r w:rsidR="003212CC">
        <w:t>ii</w:t>
      </w:r>
      <w:r w:rsidR="003212CC" w:rsidRPr="0029628D">
        <w:t>)</w:t>
      </w:r>
      <w:r w:rsidR="003212CC" w:rsidRPr="0029628D">
        <w:tab/>
        <w:t>Publicar el presente dictamen y distribuirlo ampliamente, en formatos accesibles, a fin de que llegue a todos los sectores de la població</w:t>
      </w:r>
      <w:r w:rsidR="003212CC">
        <w:t>n.</w:t>
      </w:r>
    </w:p>
    <w:p w:rsidR="003212CC" w:rsidRPr="0029628D" w:rsidRDefault="004A331F" w:rsidP="001E35CC">
      <w:pPr>
        <w:pStyle w:val="SingleTxtG"/>
      </w:pPr>
      <w:r>
        <w:tab/>
      </w:r>
      <w:r w:rsidR="003212CC" w:rsidRPr="0029628D">
        <w:t>b)</w:t>
      </w:r>
      <w:r w:rsidR="003212CC" w:rsidRPr="0029628D">
        <w:tab/>
        <w:t>En general: el Estado parte tiene la obligación de adoptar medidas para evitar que se cometan violaciones similares en el futuro. Al respecto, el Comité se remite a las recomendaciones que figuran en sus observaciones finales (CRPD/C/</w:t>
      </w:r>
      <w:r w:rsidR="003212CC">
        <w:t>MEX</w:t>
      </w:r>
      <w:r w:rsidR="003212CC" w:rsidRPr="0029628D">
        <w:t xml:space="preserve">/CO/1, párr. </w:t>
      </w:r>
      <w:r w:rsidR="003212CC">
        <w:t>28 y 30</w:t>
      </w:r>
      <w:r w:rsidR="003212CC" w:rsidRPr="0029628D">
        <w:t>) y solicita al Estado parte que:</w:t>
      </w:r>
    </w:p>
    <w:p w:rsidR="003212CC" w:rsidRDefault="004A331F" w:rsidP="004A331F">
      <w:pPr>
        <w:pStyle w:val="SingleTxtG"/>
        <w:ind w:left="2268" w:right="1140" w:hanging="567"/>
      </w:pPr>
      <w:r>
        <w:tab/>
      </w:r>
      <w:r w:rsidR="003212CC" w:rsidRPr="0029628D">
        <w:tab/>
        <w:t>i)</w:t>
      </w:r>
      <w:r w:rsidR="003212CC" w:rsidRPr="0029628D">
        <w:tab/>
      </w:r>
      <w:r w:rsidR="003212CC">
        <w:t>E</w:t>
      </w:r>
      <w:r w:rsidR="003212CC" w:rsidRPr="00CF17FC">
        <w:t>n estrecha consulta con las personas con discapacidad y las organizaciones que las representan</w:t>
      </w:r>
      <w:r w:rsidR="003212CC">
        <w:t xml:space="preserve">, realice la modificaciones </w:t>
      </w:r>
      <w:r w:rsidR="003212CC" w:rsidRPr="00CF17FC">
        <w:t>necesarias a la legislación penal para el distrito federal</w:t>
      </w:r>
      <w:r w:rsidR="003212CC" w:rsidRPr="00EB1438">
        <w:t xml:space="preserve"> </w:t>
      </w:r>
      <w:r w:rsidR="003212CC" w:rsidRPr="00CF17FC">
        <w:t>y todas las leyes federales o estatales equivalentes o conexas, en relación a la figura del inimputable y al Procedimiento Especial para Inimputables, garantizando su conformidad con los principios de la Convención</w:t>
      </w:r>
      <w:r w:rsidR="003212CC">
        <w:t>, con el objeto de asegurar el respeto de las garantías del debido proceso a</w:t>
      </w:r>
      <w:r w:rsidR="00BB2761">
        <w:t xml:space="preserve"> las personas con discapacidad;</w:t>
      </w:r>
    </w:p>
    <w:p w:rsidR="003212CC" w:rsidRPr="00CF17FC" w:rsidRDefault="004A331F" w:rsidP="004A331F">
      <w:pPr>
        <w:pStyle w:val="SingleTxtG"/>
        <w:ind w:left="2268" w:right="1140" w:hanging="567"/>
      </w:pPr>
      <w:r>
        <w:tab/>
      </w:r>
      <w:r>
        <w:tab/>
      </w:r>
      <w:r w:rsidR="00BB2761">
        <w:t>ii)</w:t>
      </w:r>
      <w:r w:rsidR="003212CC">
        <w:tab/>
        <w:t>Revise la aplicación de las medidas de seguridad que implican el internamiento para un tratamiento médico-psiquiátrico y adopte las medidas necesarias para promover alternativas que se ajusten a los principios de la Convención</w:t>
      </w:r>
      <w:r w:rsidR="003212CC" w:rsidRPr="00CF17FC">
        <w:t xml:space="preserve">; </w:t>
      </w:r>
    </w:p>
    <w:p w:rsidR="003212CC" w:rsidRPr="00CF17FC" w:rsidRDefault="004A331F" w:rsidP="004A331F">
      <w:pPr>
        <w:pStyle w:val="SingleTxtG"/>
        <w:ind w:left="2268" w:right="1140" w:hanging="567"/>
      </w:pPr>
      <w:r>
        <w:tab/>
      </w:r>
      <w:r w:rsidR="003212CC" w:rsidRPr="00CF17FC">
        <w:tab/>
        <w:t>ii</w:t>
      </w:r>
      <w:r w:rsidR="003212CC">
        <w:t>i</w:t>
      </w:r>
      <w:r w:rsidR="003212CC" w:rsidRPr="00CF17FC">
        <w:t>)</w:t>
      </w:r>
      <w:r w:rsidR="003212CC" w:rsidRPr="00CF17FC">
        <w:tab/>
        <w:t>Vele por que se ofrezcan a las personas con discapacidad intelectual</w:t>
      </w:r>
      <w:r w:rsidR="00E21871">
        <w:t xml:space="preserve"> y psicosocial</w:t>
      </w:r>
      <w:r w:rsidR="003212CC" w:rsidRPr="00CF17FC">
        <w:t xml:space="preserve"> las medidas de apoyo y ajustes razonables adecuados para que puedan ejercer su capacidad jurídica ante los tribunales;</w:t>
      </w:r>
    </w:p>
    <w:p w:rsidR="003212CC" w:rsidRPr="0029628D" w:rsidRDefault="004A331F" w:rsidP="004A331F">
      <w:pPr>
        <w:pStyle w:val="SingleTxtG"/>
        <w:ind w:left="2268" w:right="1140" w:hanging="567"/>
      </w:pPr>
      <w:r>
        <w:tab/>
      </w:r>
      <w:r w:rsidR="003212CC" w:rsidRPr="00CF17FC">
        <w:tab/>
        <w:t>i</w:t>
      </w:r>
      <w:r w:rsidR="003212CC">
        <w:t>v</w:t>
      </w:r>
      <w:r w:rsidR="003212CC" w:rsidRPr="00CF17FC">
        <w:t>)</w:t>
      </w:r>
      <w:r w:rsidR="003212CC" w:rsidRPr="00CF17FC">
        <w:tab/>
        <w:t>Vele por que se imparta a los jueces, oficiales judiciales, agentes del ministerio público y los funcionarios que participan en la facilitación de la labor del poder judicial formación adecuada y continua sobre el alcance de la Convención y su Protocolo Facultativo.</w:t>
      </w:r>
    </w:p>
    <w:p w:rsidR="00D06FDA" w:rsidRDefault="003212CC" w:rsidP="004A331F">
      <w:pPr>
        <w:pStyle w:val="SingleTxtG"/>
      </w:pPr>
      <w:r w:rsidRPr="0029628D">
        <w:t>1</w:t>
      </w:r>
      <w:r w:rsidR="00294207">
        <w:t>2</w:t>
      </w:r>
      <w:r w:rsidRPr="0029628D">
        <w:t>.</w:t>
      </w:r>
      <w:r w:rsidRPr="0029628D">
        <w:tab/>
        <w:t>De conformidad con el artículo 5 del Protocolo Facultativo y el artículo 75 del reglamento del Comité, el Estado parte debe presentar al Comité, en un plazo de seis meses, una respuesta por escrito, que habrá de incluir información sobre las medidas que haya adoptado en vista del presente dictamen y las recomendaciones del Comité.</w:t>
      </w:r>
    </w:p>
    <w:p w:rsidR="003212CC" w:rsidRPr="003212CC" w:rsidRDefault="00FB5AA8" w:rsidP="001E35CC">
      <w:pPr>
        <w:suppressAutoHyphens/>
        <w:spacing w:before="240"/>
        <w:ind w:left="1134" w:right="1134"/>
        <w:jc w:val="center"/>
        <w:rPr>
          <w:u w:val="single"/>
        </w:rPr>
      </w:pPr>
      <w:r>
        <w:rPr>
          <w:u w:val="single"/>
        </w:rPr>
        <w:tab/>
      </w:r>
      <w:r>
        <w:rPr>
          <w:u w:val="single"/>
        </w:rPr>
        <w:tab/>
      </w:r>
      <w:r w:rsidR="00BB2761">
        <w:rPr>
          <w:u w:val="single"/>
        </w:rPr>
        <w:tab/>
      </w:r>
    </w:p>
    <w:sectPr w:rsidR="003212CC" w:rsidRPr="003212CC" w:rsidSect="00FA3BFA">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509" w:rsidRDefault="00195509">
      <w:r>
        <w:separator/>
      </w:r>
    </w:p>
  </w:endnote>
  <w:endnote w:type="continuationSeparator" w:id="0">
    <w:p w:rsidR="00195509" w:rsidRDefault="0019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A4E" w:rsidRPr="00A95A4E" w:rsidRDefault="00A95A4E" w:rsidP="00A95A4E">
    <w:pPr>
      <w:pStyle w:val="Piedepgina"/>
      <w:tabs>
        <w:tab w:val="right" w:pos="9638"/>
      </w:tabs>
    </w:pPr>
    <w:r w:rsidRPr="00A95A4E">
      <w:rPr>
        <w:b/>
        <w:sz w:val="18"/>
      </w:rPr>
      <w:fldChar w:fldCharType="begin"/>
    </w:r>
    <w:r w:rsidRPr="00A95A4E">
      <w:rPr>
        <w:b/>
        <w:sz w:val="18"/>
      </w:rPr>
      <w:instrText xml:space="preserve"> PAGE  \* MERGEFORMAT </w:instrText>
    </w:r>
    <w:r w:rsidRPr="00A95A4E">
      <w:rPr>
        <w:b/>
        <w:sz w:val="18"/>
      </w:rPr>
      <w:fldChar w:fldCharType="separate"/>
    </w:r>
    <w:r w:rsidR="000706F6">
      <w:rPr>
        <w:b/>
        <w:noProof/>
        <w:sz w:val="18"/>
      </w:rPr>
      <w:t>2</w:t>
    </w:r>
    <w:r w:rsidRPr="00A95A4E">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A4E" w:rsidRPr="00A95A4E" w:rsidRDefault="00A95A4E" w:rsidP="00A95A4E">
    <w:pPr>
      <w:pStyle w:val="Piedepgina"/>
      <w:tabs>
        <w:tab w:val="right" w:pos="9638"/>
      </w:tabs>
      <w:rPr>
        <w:b/>
        <w:sz w:val="18"/>
      </w:rPr>
    </w:pPr>
    <w:r>
      <w:tab/>
    </w:r>
    <w:r w:rsidRPr="00A95A4E">
      <w:rPr>
        <w:b/>
        <w:sz w:val="18"/>
      </w:rPr>
      <w:fldChar w:fldCharType="begin"/>
    </w:r>
    <w:r w:rsidRPr="00A95A4E">
      <w:rPr>
        <w:b/>
        <w:sz w:val="18"/>
      </w:rPr>
      <w:instrText xml:space="preserve"> PAGE  \* MERGEFORMAT </w:instrText>
    </w:r>
    <w:r w:rsidRPr="00A95A4E">
      <w:rPr>
        <w:b/>
        <w:sz w:val="18"/>
      </w:rPr>
      <w:fldChar w:fldCharType="separate"/>
    </w:r>
    <w:r w:rsidR="000706F6">
      <w:rPr>
        <w:b/>
        <w:noProof/>
        <w:sz w:val="18"/>
      </w:rPr>
      <w:t>7</w:t>
    </w:r>
    <w:r w:rsidRPr="00A95A4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984" w:rsidRPr="002B4FC0" w:rsidRDefault="001D4984" w:rsidP="002B4F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509" w:rsidRPr="001075E9" w:rsidRDefault="00195509" w:rsidP="001075E9">
      <w:pPr>
        <w:tabs>
          <w:tab w:val="right" w:pos="2155"/>
        </w:tabs>
        <w:spacing w:after="80" w:line="240" w:lineRule="auto"/>
        <w:ind w:left="680"/>
        <w:rPr>
          <w:u w:val="single"/>
        </w:rPr>
      </w:pPr>
      <w:r>
        <w:rPr>
          <w:u w:val="single"/>
        </w:rPr>
        <w:tab/>
      </w:r>
    </w:p>
  </w:footnote>
  <w:footnote w:type="continuationSeparator" w:id="0">
    <w:p w:rsidR="00195509" w:rsidRDefault="00195509">
      <w:r>
        <w:continuationSeparator/>
      </w:r>
    </w:p>
  </w:footnote>
  <w:footnote w:id="1">
    <w:p w:rsidR="00144F25" w:rsidRPr="0055380B" w:rsidRDefault="00144F25">
      <w:pPr>
        <w:pStyle w:val="Textonotapie"/>
        <w:rPr>
          <w:lang w:val="es-419"/>
        </w:rPr>
      </w:pPr>
      <w:r>
        <w:rPr>
          <w:rStyle w:val="Refdenotaalpie"/>
        </w:rPr>
        <w:tab/>
      </w:r>
      <w:r w:rsidRPr="0055380B">
        <w:rPr>
          <w:rStyle w:val="Refdenotaalpie"/>
          <w:sz w:val="20"/>
          <w:vertAlign w:val="baseline"/>
        </w:rPr>
        <w:t>*</w:t>
      </w:r>
      <w:r>
        <w:rPr>
          <w:rStyle w:val="Refdenotaalpie"/>
          <w:sz w:val="20"/>
          <w:vertAlign w:val="baseline"/>
        </w:rPr>
        <w:tab/>
      </w:r>
      <w:r w:rsidRPr="00C41C20">
        <w:rPr>
          <w:lang w:val="es-EC"/>
        </w:rPr>
        <w:t>A</w:t>
      </w:r>
      <w:r w:rsidRPr="0094024B">
        <w:t xml:space="preserve">probado por el Comité en su </w:t>
      </w:r>
      <w:r>
        <w:t>22</w:t>
      </w:r>
      <w:r w:rsidRPr="0094024B">
        <w:t>º período de sesiones</w:t>
      </w:r>
      <w:r>
        <w:rPr>
          <w:lang w:val="es-EC"/>
        </w:rPr>
        <w:t xml:space="preserve"> (26</w:t>
      </w:r>
      <w:r w:rsidRPr="00C41C20">
        <w:rPr>
          <w:lang w:val="es-EC"/>
        </w:rPr>
        <w:t xml:space="preserve"> </w:t>
      </w:r>
      <w:r>
        <w:rPr>
          <w:lang w:val="es-EC"/>
        </w:rPr>
        <w:t>de agosto</w:t>
      </w:r>
      <w:r>
        <w:rPr>
          <w:color w:val="000000" w:themeColor="text1"/>
          <w:lang w:val="es-EC"/>
        </w:rPr>
        <w:t xml:space="preserve"> a 20 septiembre de</w:t>
      </w:r>
      <w:r w:rsidRPr="00C41C20">
        <w:rPr>
          <w:color w:val="000000" w:themeColor="text1"/>
          <w:lang w:val="es-EC"/>
        </w:rPr>
        <w:t xml:space="preserve"> 2019</w:t>
      </w:r>
      <w:r w:rsidRPr="00C41C20">
        <w:rPr>
          <w:lang w:val="es-EC"/>
        </w:rPr>
        <w:t>).</w:t>
      </w:r>
    </w:p>
  </w:footnote>
  <w:footnote w:id="2">
    <w:p w:rsidR="00D4404E" w:rsidRPr="00D4404E" w:rsidRDefault="003212CC" w:rsidP="00D4404E">
      <w:pPr>
        <w:pStyle w:val="Textonotapie"/>
        <w:rPr>
          <w:szCs w:val="18"/>
          <w:lang w:val="es-ES_tradnl"/>
        </w:rPr>
      </w:pPr>
      <w:r w:rsidRPr="00DE0AA9">
        <w:rPr>
          <w:rStyle w:val="Refdenotaalpie"/>
        </w:rPr>
        <w:tab/>
      </w:r>
      <w:r w:rsidRPr="00BB2761">
        <w:rPr>
          <w:sz w:val="20"/>
          <w:szCs w:val="18"/>
          <w:lang w:val="es-ES_tradnl"/>
        </w:rPr>
        <w:t>**</w:t>
      </w:r>
      <w:r w:rsidRPr="007C521A">
        <w:rPr>
          <w:szCs w:val="18"/>
          <w:lang w:val="es-ES_tradnl"/>
        </w:rPr>
        <w:tab/>
      </w:r>
      <w:r w:rsidR="000408FC">
        <w:t xml:space="preserve">Participaron en el examen de la comunicación los siguientes miembros del Comité: Ahmad </w:t>
      </w:r>
      <w:proofErr w:type="spellStart"/>
      <w:r w:rsidR="000408FC">
        <w:t>Saleh</w:t>
      </w:r>
      <w:proofErr w:type="spellEnd"/>
      <w:r w:rsidR="000408FC">
        <w:t xml:space="preserve"> Al-</w:t>
      </w:r>
      <w:proofErr w:type="spellStart"/>
      <w:r w:rsidR="000408FC">
        <w:t>Saif</w:t>
      </w:r>
      <w:proofErr w:type="spellEnd"/>
      <w:r w:rsidR="000408FC">
        <w:t xml:space="preserve">; Robert George Martin; </w:t>
      </w:r>
      <w:proofErr w:type="spellStart"/>
      <w:r w:rsidR="000408FC">
        <w:t>Monthian</w:t>
      </w:r>
      <w:proofErr w:type="spellEnd"/>
      <w:r w:rsidR="000408FC">
        <w:t xml:space="preserve"> </w:t>
      </w:r>
      <w:proofErr w:type="spellStart"/>
      <w:r w:rsidR="000408FC">
        <w:t>Buntan</w:t>
      </w:r>
      <w:proofErr w:type="spellEnd"/>
      <w:r w:rsidR="000408FC">
        <w:t xml:space="preserve">; </w:t>
      </w:r>
      <w:proofErr w:type="spellStart"/>
      <w:r w:rsidR="000408FC">
        <w:t>Imed</w:t>
      </w:r>
      <w:proofErr w:type="spellEnd"/>
      <w:r w:rsidR="000408FC">
        <w:t xml:space="preserve"> </w:t>
      </w:r>
      <w:proofErr w:type="spellStart"/>
      <w:r w:rsidR="000408FC">
        <w:t>Eddine</w:t>
      </w:r>
      <w:proofErr w:type="spellEnd"/>
      <w:r w:rsidR="000408FC">
        <w:t xml:space="preserve"> </w:t>
      </w:r>
      <w:proofErr w:type="spellStart"/>
      <w:r w:rsidR="000408FC">
        <w:t>Chaker</w:t>
      </w:r>
      <w:proofErr w:type="spellEnd"/>
      <w:r w:rsidR="000408FC">
        <w:t xml:space="preserve">; Jun Ishikawa; Mi </w:t>
      </w:r>
      <w:proofErr w:type="spellStart"/>
      <w:r w:rsidR="000408FC">
        <w:t>Yeon</w:t>
      </w:r>
      <w:proofErr w:type="spellEnd"/>
      <w:r w:rsidR="000408FC">
        <w:t xml:space="preserve"> Kim; Samuel </w:t>
      </w:r>
      <w:proofErr w:type="spellStart"/>
      <w:r w:rsidR="000408FC">
        <w:t>Njuguna</w:t>
      </w:r>
      <w:proofErr w:type="spellEnd"/>
      <w:r w:rsidR="000408FC">
        <w:t xml:space="preserve"> </w:t>
      </w:r>
      <w:proofErr w:type="spellStart"/>
      <w:r w:rsidR="000408FC">
        <w:t>Kabue</w:t>
      </w:r>
      <w:proofErr w:type="spellEnd"/>
      <w:r w:rsidR="000408FC">
        <w:t xml:space="preserve">; </w:t>
      </w:r>
      <w:proofErr w:type="spellStart"/>
      <w:r w:rsidR="000408FC">
        <w:t>Laszlo</w:t>
      </w:r>
      <w:proofErr w:type="spellEnd"/>
      <w:r w:rsidR="000408FC">
        <w:t xml:space="preserve"> </w:t>
      </w:r>
      <w:proofErr w:type="spellStart"/>
      <w:r w:rsidR="000408FC">
        <w:t>Gabor</w:t>
      </w:r>
      <w:proofErr w:type="spellEnd"/>
      <w:r w:rsidR="000408FC">
        <w:t xml:space="preserve"> </w:t>
      </w:r>
      <w:proofErr w:type="spellStart"/>
      <w:r w:rsidR="000408FC">
        <w:t>Lovaszky</w:t>
      </w:r>
      <w:proofErr w:type="spellEnd"/>
      <w:r w:rsidR="000408FC">
        <w:t xml:space="preserve">; </w:t>
      </w:r>
      <w:proofErr w:type="spellStart"/>
      <w:r w:rsidR="00A76909">
        <w:t>Dmitry</w:t>
      </w:r>
      <w:proofErr w:type="spellEnd"/>
      <w:r w:rsidR="00A76909">
        <w:t xml:space="preserve"> </w:t>
      </w:r>
      <w:proofErr w:type="spellStart"/>
      <w:r w:rsidR="00A76909">
        <w:t>Rebrov</w:t>
      </w:r>
      <w:proofErr w:type="spellEnd"/>
      <w:r w:rsidR="00A76909">
        <w:t xml:space="preserve">; Martin </w:t>
      </w:r>
      <w:proofErr w:type="spellStart"/>
      <w:r w:rsidR="00A76909">
        <w:t>Babu</w:t>
      </w:r>
      <w:proofErr w:type="spellEnd"/>
      <w:r w:rsidR="00A76909">
        <w:t xml:space="preserve"> </w:t>
      </w:r>
      <w:proofErr w:type="spellStart"/>
      <w:r w:rsidR="00A76909">
        <w:t>Mwesigwa</w:t>
      </w:r>
      <w:proofErr w:type="spellEnd"/>
      <w:r w:rsidR="00A76909">
        <w:t xml:space="preserve">; </w:t>
      </w:r>
      <w:proofErr w:type="spellStart"/>
      <w:r w:rsidR="00A76909">
        <w:t>Jonas</w:t>
      </w:r>
      <w:proofErr w:type="spellEnd"/>
      <w:r w:rsidR="00A76909">
        <w:t xml:space="preserve"> </w:t>
      </w:r>
      <w:proofErr w:type="spellStart"/>
      <w:r w:rsidR="00A76909">
        <w:t>Ruskus</w:t>
      </w:r>
      <w:proofErr w:type="spellEnd"/>
      <w:r w:rsidR="00A76909">
        <w:t xml:space="preserve">; </w:t>
      </w:r>
      <w:proofErr w:type="spellStart"/>
      <w:r w:rsidR="00A76909">
        <w:t>Risnawati</w:t>
      </w:r>
      <w:proofErr w:type="spellEnd"/>
      <w:r w:rsidR="00A76909">
        <w:t xml:space="preserve"> </w:t>
      </w:r>
      <w:proofErr w:type="spellStart"/>
      <w:r w:rsidR="00A76909">
        <w:t>Utami</w:t>
      </w:r>
      <w:proofErr w:type="spellEnd"/>
      <w:r w:rsidR="00A76909">
        <w:t xml:space="preserve"> y </w:t>
      </w:r>
      <w:proofErr w:type="spellStart"/>
      <w:r w:rsidR="00A76909">
        <w:t>Markus</w:t>
      </w:r>
      <w:proofErr w:type="spellEnd"/>
      <w:r w:rsidR="00A76909">
        <w:t xml:space="preserve"> </w:t>
      </w:r>
      <w:proofErr w:type="spellStart"/>
      <w:r w:rsidR="00A76909">
        <w:t>Schefer</w:t>
      </w:r>
      <w:proofErr w:type="spellEnd"/>
      <w:r w:rsidRPr="007F347E">
        <w:rPr>
          <w:szCs w:val="18"/>
          <w:lang w:val="es-ES_tradnl"/>
        </w:rPr>
        <w:t>.</w:t>
      </w:r>
      <w:r w:rsidR="00D4404E">
        <w:rPr>
          <w:szCs w:val="18"/>
          <w:lang w:val="es-ES_tradnl"/>
        </w:rPr>
        <w:t xml:space="preserve"> </w:t>
      </w:r>
      <w:r w:rsidR="00A76909">
        <w:rPr>
          <w:szCs w:val="18"/>
          <w:lang w:val="es-ES_tradnl"/>
        </w:rPr>
        <w:t>De conformidad con el artículo 60</w:t>
      </w:r>
      <w:r w:rsidR="00D4404E">
        <w:rPr>
          <w:szCs w:val="18"/>
          <w:lang w:val="es-ES_tradnl"/>
        </w:rPr>
        <w:t xml:space="preserve">, </w:t>
      </w:r>
      <w:r w:rsidR="00D4404E" w:rsidRPr="00287F3E">
        <w:t>párrafo 1 c)</w:t>
      </w:r>
      <w:r w:rsidR="00D4404E">
        <w:t>,</w:t>
      </w:r>
      <w:r w:rsidR="00A76909">
        <w:rPr>
          <w:szCs w:val="18"/>
          <w:lang w:val="es-ES_tradnl"/>
        </w:rPr>
        <w:t xml:space="preserve"> del reglamento del Comité, Amalia Eva</w:t>
      </w:r>
      <w:r w:rsidR="000F25E5">
        <w:rPr>
          <w:szCs w:val="18"/>
          <w:lang w:val="es-ES_tradnl"/>
        </w:rPr>
        <w:t xml:space="preserve"> Gamio </w:t>
      </w:r>
      <w:r w:rsidR="009C0896">
        <w:rPr>
          <w:szCs w:val="18"/>
          <w:lang w:val="es-ES_tradnl"/>
        </w:rPr>
        <w:t>Ríos</w:t>
      </w:r>
      <w:r w:rsidR="00D4404E" w:rsidRPr="00D4404E">
        <w:t xml:space="preserve"> </w:t>
      </w:r>
      <w:r w:rsidR="00D4404E" w:rsidRPr="00287F3E">
        <w:t>no participó en el examen de la presente comunicación.</w:t>
      </w:r>
    </w:p>
    <w:p w:rsidR="00A76909" w:rsidRPr="00D4404E" w:rsidRDefault="00A76909" w:rsidP="003212CC">
      <w:pPr>
        <w:pStyle w:val="Textonotapie"/>
        <w:rPr>
          <w:lang w:val="es-ES_tradnl"/>
        </w:rPr>
      </w:pPr>
    </w:p>
  </w:footnote>
  <w:footnote w:id="3">
    <w:p w:rsidR="003212CC" w:rsidRPr="00EE7E89" w:rsidRDefault="003212CC" w:rsidP="003212CC">
      <w:pPr>
        <w:pStyle w:val="Textonotapie"/>
        <w:rPr>
          <w:lang w:val="uz-Cyrl-UZ"/>
        </w:rPr>
      </w:pPr>
      <w:r>
        <w:tab/>
      </w:r>
      <w:r>
        <w:rPr>
          <w:rStyle w:val="Refdenotaalpie"/>
        </w:rPr>
        <w:footnoteRef/>
      </w:r>
      <w:r>
        <w:tab/>
      </w:r>
      <w:r>
        <w:tab/>
      </w:r>
      <w:r w:rsidRPr="00EE7E89">
        <w:rPr>
          <w:lang w:val="uz-Cyrl-UZ"/>
        </w:rPr>
        <w:t>El autor no detal</w:t>
      </w:r>
      <w:r>
        <w:rPr>
          <w:lang w:val="uz-Cyrl-UZ"/>
        </w:rPr>
        <w:t xml:space="preserve">la las contradicciones </w:t>
      </w:r>
      <w:r w:rsidRPr="00910FF0">
        <w:rPr>
          <w:lang w:val="es-EC"/>
        </w:rPr>
        <w:t>referidas</w:t>
      </w:r>
      <w:r>
        <w:rPr>
          <w:lang w:val="uz-Cyrl-UZ"/>
        </w:rPr>
        <w:t xml:space="preserve">. </w:t>
      </w:r>
      <w:r w:rsidRPr="00910FF0">
        <w:rPr>
          <w:lang w:val="es-EC"/>
        </w:rPr>
        <w:t>D</w:t>
      </w:r>
      <w:r>
        <w:rPr>
          <w:lang w:val="uz-Cyrl-UZ"/>
        </w:rPr>
        <w:t>e la lectura de</w:t>
      </w:r>
      <w:r w:rsidRPr="009E2896">
        <w:rPr>
          <w:lang w:val="es-EC"/>
        </w:rPr>
        <w:t xml:space="preserve"> </w:t>
      </w:r>
      <w:r>
        <w:rPr>
          <w:lang w:val="uz-Cyrl-UZ"/>
        </w:rPr>
        <w:t>l</w:t>
      </w:r>
      <w:r w:rsidRPr="009E2896">
        <w:rPr>
          <w:lang w:val="es-EC"/>
        </w:rPr>
        <w:t>a documentaci</w:t>
      </w:r>
      <w:r>
        <w:rPr>
          <w:lang w:val="es-EC"/>
        </w:rPr>
        <w:t>ón del proceso</w:t>
      </w:r>
      <w:r w:rsidRPr="009E2896">
        <w:rPr>
          <w:lang w:val="es-EC"/>
        </w:rPr>
        <w:t>,</w:t>
      </w:r>
      <w:r>
        <w:rPr>
          <w:lang w:val="uz-Cyrl-UZ"/>
        </w:rPr>
        <w:t xml:space="preserve"> se puede advertir que existen algunas contradicciones. </w:t>
      </w:r>
    </w:p>
  </w:footnote>
  <w:footnote w:id="4">
    <w:p w:rsidR="003212CC" w:rsidRPr="00D7456A" w:rsidRDefault="003212CC" w:rsidP="003212CC">
      <w:pPr>
        <w:pStyle w:val="Textonotapie"/>
        <w:rPr>
          <w:lang w:val="es-419"/>
        </w:rPr>
      </w:pPr>
      <w:r>
        <w:tab/>
      </w:r>
      <w:r>
        <w:rPr>
          <w:rStyle w:val="Refdenotaalpie"/>
        </w:rPr>
        <w:footnoteRef/>
      </w:r>
      <w:r>
        <w:tab/>
      </w:r>
      <w:r w:rsidRPr="00D7456A">
        <w:rPr>
          <w:lang w:val="es-419"/>
        </w:rPr>
        <w:t>Ver párrafo 38.2 de la Comunicación Inicial presentada por</w:t>
      </w:r>
      <w:r>
        <w:rPr>
          <w:lang w:val="es-419"/>
        </w:rPr>
        <w:t xml:space="preserve"> el autor.</w:t>
      </w:r>
    </w:p>
  </w:footnote>
  <w:footnote w:id="5">
    <w:p w:rsidR="003212CC" w:rsidRPr="00BF5608" w:rsidRDefault="003212CC" w:rsidP="003212CC">
      <w:pPr>
        <w:pStyle w:val="Textonotapie"/>
        <w:spacing w:line="240" w:lineRule="auto"/>
        <w:jc w:val="both"/>
        <w:rPr>
          <w:lang w:val="es-ES_tradnl"/>
        </w:rPr>
      </w:pPr>
      <w:r>
        <w:rPr>
          <w:lang w:val="es-ES_tradnl"/>
        </w:rPr>
        <w:tab/>
      </w:r>
      <w:r w:rsidRPr="00BF5608">
        <w:rPr>
          <w:rStyle w:val="Refdenotaalpie"/>
        </w:rPr>
        <w:footnoteRef/>
      </w:r>
      <w:r>
        <w:rPr>
          <w:lang w:val="es-ES_tradnl"/>
        </w:rPr>
        <w:tab/>
      </w:r>
      <w:r w:rsidRPr="00BF5608">
        <w:rPr>
          <w:lang w:val="es-ES_tradnl"/>
        </w:rPr>
        <w:t>El juez denegó el recurso del autor debido a un error formal</w:t>
      </w:r>
      <w:r>
        <w:rPr>
          <w:lang w:val="es-ES_tradnl"/>
        </w:rPr>
        <w:t>: e</w:t>
      </w:r>
      <w:r w:rsidRPr="00BF5608">
        <w:rPr>
          <w:lang w:val="es-ES_tradnl"/>
        </w:rPr>
        <w:t>l autor interpuso el recurso contra un auto de plazo constitucional y no contra el auto de procedimiento especial para inimputables. El autor denuncia que incurrió en dicho error porque desconocía que había sido sometido al PEI.</w:t>
      </w:r>
    </w:p>
  </w:footnote>
  <w:footnote w:id="6">
    <w:p w:rsidR="003212CC" w:rsidRPr="005A6554" w:rsidRDefault="003212CC" w:rsidP="003212CC">
      <w:pPr>
        <w:pStyle w:val="Textonotapie"/>
        <w:spacing w:line="240" w:lineRule="auto"/>
        <w:jc w:val="both"/>
        <w:rPr>
          <w:lang w:val="es-ES_tradnl"/>
        </w:rPr>
      </w:pPr>
      <w:r>
        <w:rPr>
          <w:lang w:val="es-ES_tradnl"/>
        </w:rPr>
        <w:tab/>
      </w:r>
      <w:r w:rsidRPr="00BF5608">
        <w:rPr>
          <w:rStyle w:val="Refdenotaalpie"/>
        </w:rPr>
        <w:footnoteRef/>
      </w:r>
      <w:r>
        <w:rPr>
          <w:lang w:val="es-ES_tradnl"/>
        </w:rPr>
        <w:tab/>
        <w:t>Ver</w:t>
      </w:r>
      <w:r w:rsidRPr="00BF5608">
        <w:rPr>
          <w:lang w:val="es-ES_tradnl"/>
        </w:rPr>
        <w:t xml:space="preserve"> art. 63 del Código Penal </w:t>
      </w:r>
      <w:r>
        <w:rPr>
          <w:lang w:val="es-ES_tradnl"/>
        </w:rPr>
        <w:t>d</w:t>
      </w:r>
      <w:r w:rsidRPr="00BF5608">
        <w:rPr>
          <w:lang w:val="es-ES_tradnl"/>
        </w:rPr>
        <w:t>el Distrito Federal</w:t>
      </w:r>
      <w:r>
        <w:rPr>
          <w:lang w:val="es-ES_tradnl"/>
        </w:rPr>
        <w:t>:</w:t>
      </w:r>
      <w:r w:rsidRPr="00BF5608">
        <w:rPr>
          <w:lang w:val="es-ES_tradnl"/>
        </w:rPr>
        <w:t xml:space="preserve"> “el juez o en su caso la autoridad competente, podrá entregar al inimputable a sus familiares o a las personas que conforme a la ley tengan la obligación de hacerse cargo de él, siempre y cuando reparen el daño, se obliguen a tomar las medidas adecuadas para el tratamiento y vigilancia del inimputable y garanticen a satisfacción del juez, el cumplimiento de las obligaciones contraídas...”</w:t>
      </w:r>
      <w:r w:rsidR="00BB2761">
        <w:rPr>
          <w:lang w:val="es-ES_tradnl"/>
        </w:rPr>
        <w:t>.</w:t>
      </w:r>
    </w:p>
  </w:footnote>
  <w:footnote w:id="7">
    <w:p w:rsidR="003212CC" w:rsidRPr="00841760" w:rsidRDefault="003212CC" w:rsidP="003212CC">
      <w:pPr>
        <w:pStyle w:val="Textonotapie"/>
        <w:spacing w:line="240" w:lineRule="auto"/>
        <w:jc w:val="both"/>
        <w:rPr>
          <w:lang w:val="es-ES_tradnl"/>
        </w:rPr>
      </w:pPr>
      <w:r>
        <w:rPr>
          <w:lang w:val="es-ES_tradnl"/>
        </w:rPr>
        <w:tab/>
      </w:r>
      <w:r w:rsidRPr="00841760">
        <w:rPr>
          <w:rStyle w:val="Refdenotaalpie"/>
        </w:rPr>
        <w:footnoteRef/>
      </w:r>
      <w:r w:rsidR="00BB2761">
        <w:rPr>
          <w:lang w:val="es-ES_tradnl"/>
        </w:rPr>
        <w:tab/>
      </w:r>
      <w:r>
        <w:rPr>
          <w:lang w:val="es-ES_tradnl"/>
        </w:rPr>
        <w:t>“E</w:t>
      </w:r>
      <w:r w:rsidRPr="00841760">
        <w:rPr>
          <w:lang w:val="es-ES_tradnl"/>
        </w:rPr>
        <w:t xml:space="preserve">l </w:t>
      </w:r>
      <w:proofErr w:type="spellStart"/>
      <w:r w:rsidRPr="00841760">
        <w:rPr>
          <w:lang w:val="es-ES_tradnl"/>
        </w:rPr>
        <w:t>externamiento</w:t>
      </w:r>
      <w:proofErr w:type="spellEnd"/>
      <w:r w:rsidRPr="00841760">
        <w:rPr>
          <w:lang w:val="es-ES_tradnl"/>
        </w:rPr>
        <w:t xml:space="preserve"> es una figura en el derecho penal donde existe la posibilidad de </w:t>
      </w:r>
      <w:r w:rsidRPr="000B44F2">
        <w:rPr>
          <w:lang w:val="es-ES_tradnl"/>
        </w:rPr>
        <w:t>“entregar al inimputable a quien legalmente le corresponda hacerse cargo del inimputable”</w:t>
      </w:r>
      <w:r>
        <w:rPr>
          <w:lang w:val="es-ES_tradnl"/>
        </w:rPr>
        <w:t>(…)” (párrafo 41 de la comunicación)</w:t>
      </w:r>
      <w:r w:rsidRPr="00841760">
        <w:rPr>
          <w:lang w:val="es-ES_tradnl"/>
        </w:rPr>
        <w:t>. El autor sostiene además que esa era la única opción viable para recuperar su libertad, más no su inocencia.</w:t>
      </w:r>
    </w:p>
  </w:footnote>
  <w:footnote w:id="8">
    <w:p w:rsidR="003212CC" w:rsidRPr="005F4530" w:rsidRDefault="003212CC" w:rsidP="003212CC">
      <w:pPr>
        <w:pStyle w:val="Textonotapie"/>
        <w:spacing w:line="240" w:lineRule="auto"/>
        <w:jc w:val="both"/>
        <w:rPr>
          <w:lang w:val="es-ES_tradnl"/>
        </w:rPr>
      </w:pPr>
      <w:r>
        <w:rPr>
          <w:lang w:val="es-ES_tradnl"/>
        </w:rPr>
        <w:tab/>
      </w:r>
      <w:r w:rsidRPr="00841760">
        <w:rPr>
          <w:rStyle w:val="Refdenotaalpie"/>
        </w:rPr>
        <w:footnoteRef/>
      </w:r>
      <w:r>
        <w:rPr>
          <w:lang w:val="es-ES_tradnl"/>
        </w:rPr>
        <w:tab/>
      </w:r>
      <w:r w:rsidRPr="00841760">
        <w:rPr>
          <w:lang w:val="es-ES_tradnl"/>
        </w:rPr>
        <w:t xml:space="preserve">Al haber sido juzgado bajo la figura de la inimputabilidad y al haberse considerado que “no era apto para declarar”, </w:t>
      </w:r>
      <w:r>
        <w:rPr>
          <w:lang w:val="es-ES_tradnl"/>
        </w:rPr>
        <w:t>el autor</w:t>
      </w:r>
      <w:r w:rsidRPr="00841760">
        <w:rPr>
          <w:lang w:val="es-ES_tradnl"/>
        </w:rPr>
        <w:t xml:space="preserve"> fue despojado de su capacidad para actuar en su juicio.</w:t>
      </w:r>
    </w:p>
  </w:footnote>
  <w:footnote w:id="9">
    <w:p w:rsidR="003212CC" w:rsidRPr="00935F1F" w:rsidRDefault="003212CC" w:rsidP="003212CC">
      <w:pPr>
        <w:pStyle w:val="Textonotapie"/>
        <w:spacing w:line="240" w:lineRule="auto"/>
        <w:jc w:val="both"/>
        <w:rPr>
          <w:lang w:val="es-ES_tradnl"/>
        </w:rPr>
      </w:pPr>
      <w:r>
        <w:rPr>
          <w:lang w:val="es-ES_tradnl"/>
        </w:rPr>
        <w:tab/>
      </w:r>
      <w:r>
        <w:rPr>
          <w:rStyle w:val="Refdenotaalpie"/>
        </w:rPr>
        <w:footnoteRef/>
      </w:r>
      <w:r>
        <w:rPr>
          <w:lang w:val="es-ES_tradnl"/>
        </w:rPr>
        <w:tab/>
      </w:r>
      <w:r w:rsidRPr="00935F1F">
        <w:rPr>
          <w:lang w:val="es-ES_tradnl"/>
        </w:rPr>
        <w:t>El principio establece que deben agotarse previamente los recursos internos disponibles, en este caso, el recurso de apelación.</w:t>
      </w:r>
    </w:p>
  </w:footnote>
  <w:footnote w:id="10">
    <w:p w:rsidR="003212CC" w:rsidRPr="00544FD0" w:rsidRDefault="003212CC" w:rsidP="003212CC">
      <w:pPr>
        <w:pStyle w:val="Textonotapie"/>
        <w:spacing w:line="240" w:lineRule="auto"/>
        <w:jc w:val="both"/>
        <w:rPr>
          <w:lang w:val="es-ES_tradnl"/>
        </w:rPr>
      </w:pPr>
      <w:r>
        <w:rPr>
          <w:lang w:val="es-ES_tradnl"/>
        </w:rPr>
        <w:tab/>
      </w:r>
      <w:r w:rsidRPr="00544FD0">
        <w:rPr>
          <w:rStyle w:val="Refdenotaalpie"/>
        </w:rPr>
        <w:footnoteRef/>
      </w:r>
      <w:r>
        <w:rPr>
          <w:lang w:val="es-ES_tradnl"/>
        </w:rPr>
        <w:tab/>
      </w:r>
      <w:r w:rsidRPr="00544FD0">
        <w:rPr>
          <w:lang w:val="es-ES_tradnl"/>
        </w:rPr>
        <w:t>El tribunal estableció la modificación del recurso por entender que no se habían agotado los recursos internos, ya que el amparo directo (recurso que interpuso el autor) procede contra sentencias que ponen fin a un juicio, mientras que el amparo indirecto procede contra todos los demás casos.</w:t>
      </w:r>
    </w:p>
  </w:footnote>
  <w:footnote w:id="11">
    <w:p w:rsidR="003212CC" w:rsidRPr="00841760" w:rsidRDefault="003212CC" w:rsidP="003212CC">
      <w:pPr>
        <w:pStyle w:val="Textonotapie"/>
        <w:spacing w:line="240" w:lineRule="auto"/>
        <w:ind w:hanging="567"/>
        <w:jc w:val="both"/>
        <w:rPr>
          <w:lang w:val="es-ES_tradnl"/>
        </w:rPr>
      </w:pPr>
      <w:r>
        <w:rPr>
          <w:lang w:val="es-ES_tradnl"/>
        </w:rPr>
        <w:tab/>
      </w:r>
      <w:r w:rsidRPr="00841760">
        <w:rPr>
          <w:rStyle w:val="Refdenotaalpie"/>
        </w:rPr>
        <w:footnoteRef/>
      </w:r>
      <w:r>
        <w:rPr>
          <w:lang w:val="es-ES_tradnl"/>
        </w:rPr>
        <w:tab/>
        <w:t>En particular, el autor solicitó la declaración de inconstitucionalidad de l</w:t>
      </w:r>
      <w:r w:rsidRPr="00841760">
        <w:rPr>
          <w:lang w:val="es-ES_tradnl"/>
        </w:rPr>
        <w:t xml:space="preserve">os artículos del CPDF que hacen alusión a la inimputabilidad, a las medidas de seguridad y a la necesidad de un tutor o una persona que legalmente se haga cargo de la persona declarada inimputable. </w:t>
      </w:r>
      <w:r>
        <w:rPr>
          <w:lang w:val="es-ES_tradnl"/>
        </w:rPr>
        <w:t>También denunció l</w:t>
      </w:r>
      <w:r w:rsidRPr="00841760">
        <w:rPr>
          <w:lang w:val="es-ES_tradnl"/>
        </w:rPr>
        <w:t>os artículos del CPPDF que se refieren al P</w:t>
      </w:r>
      <w:r>
        <w:rPr>
          <w:lang w:val="es-ES_tradnl"/>
        </w:rPr>
        <w:t>rocedimiento Especial para Inimputables</w:t>
      </w:r>
      <w:r w:rsidRPr="00841760">
        <w:rPr>
          <w:lang w:val="es-ES_tradnl"/>
        </w:rPr>
        <w:t>. La inconstitucionalidad de ambas legislaciones ya había sido planteada en la demanda de amparo directo.</w:t>
      </w:r>
    </w:p>
  </w:footnote>
  <w:footnote w:id="12">
    <w:p w:rsidR="003212CC" w:rsidRPr="00930CD5" w:rsidRDefault="003212CC" w:rsidP="003212CC">
      <w:pPr>
        <w:pStyle w:val="Textonotapie"/>
        <w:spacing w:line="240" w:lineRule="auto"/>
        <w:jc w:val="both"/>
        <w:rPr>
          <w:lang w:val="es-ES_tradnl"/>
        </w:rPr>
      </w:pPr>
      <w:r>
        <w:rPr>
          <w:lang w:val="es-ES_tradnl"/>
        </w:rPr>
        <w:tab/>
      </w:r>
      <w:r w:rsidRPr="00841760">
        <w:rPr>
          <w:rStyle w:val="Refdenotaalpie"/>
        </w:rPr>
        <w:footnoteRef/>
      </w:r>
      <w:r>
        <w:rPr>
          <w:lang w:val="es-ES_tradnl"/>
        </w:rPr>
        <w:tab/>
        <w:t xml:space="preserve">El </w:t>
      </w:r>
      <w:r w:rsidRPr="00930CD5">
        <w:rPr>
          <w:lang w:val="es-ES_tradnl"/>
        </w:rPr>
        <w:t>beneficio penitenciario de remisión parcial de la pena</w:t>
      </w:r>
      <w:r w:rsidR="0024508D">
        <w:rPr>
          <w:lang w:val="es-ES_tradnl"/>
        </w:rPr>
        <w:t xml:space="preserve"> </w:t>
      </w:r>
      <w:r>
        <w:rPr>
          <w:lang w:val="es-ES_tradnl"/>
        </w:rPr>
        <w:t>puede ser</w:t>
      </w:r>
      <w:r w:rsidRPr="00841760">
        <w:rPr>
          <w:lang w:val="es-ES_tradnl"/>
        </w:rPr>
        <w:t xml:space="preserve"> otorgado por el Juez de Ejecución y consist</w:t>
      </w:r>
      <w:r>
        <w:rPr>
          <w:lang w:val="es-ES_tradnl"/>
        </w:rPr>
        <w:t>e</w:t>
      </w:r>
      <w:r w:rsidRPr="00841760">
        <w:rPr>
          <w:lang w:val="es-ES_tradnl"/>
        </w:rPr>
        <w:t xml:space="preserve"> en que por cada dos días de trabajo, se </w:t>
      </w:r>
      <w:r>
        <w:rPr>
          <w:lang w:val="es-ES_tradnl"/>
        </w:rPr>
        <w:t>haga</w:t>
      </w:r>
      <w:r w:rsidRPr="00841760">
        <w:rPr>
          <w:lang w:val="es-ES_tradnl"/>
        </w:rPr>
        <w:t xml:space="preserve"> remisión de uno de prisión</w:t>
      </w:r>
      <w:r>
        <w:rPr>
          <w:lang w:val="es-ES_tradnl"/>
        </w:rPr>
        <w:t xml:space="preserve"> cuando se</w:t>
      </w:r>
      <w:r w:rsidRPr="00841760">
        <w:rPr>
          <w:lang w:val="es-ES_tradnl"/>
        </w:rPr>
        <w:t xml:space="preserve"> re</w:t>
      </w:r>
      <w:r>
        <w:rPr>
          <w:lang w:val="es-ES_tradnl"/>
        </w:rPr>
        <w:t xml:space="preserve">únan los requisitos siguientes: </w:t>
      </w:r>
      <w:r w:rsidRPr="00841760">
        <w:rPr>
          <w:lang w:val="es-ES_tradnl"/>
        </w:rPr>
        <w:t xml:space="preserve">el sentenciado ha observado </w:t>
      </w:r>
      <w:r>
        <w:rPr>
          <w:lang w:val="es-ES_tradnl"/>
        </w:rPr>
        <w:t xml:space="preserve">buena conducta; </w:t>
      </w:r>
      <w:r w:rsidRPr="00841760">
        <w:rPr>
          <w:lang w:val="es-ES_tradnl"/>
        </w:rPr>
        <w:t>particip</w:t>
      </w:r>
      <w:r>
        <w:rPr>
          <w:lang w:val="es-ES_tradnl"/>
        </w:rPr>
        <w:t>a</w:t>
      </w:r>
      <w:r w:rsidRPr="00841760">
        <w:rPr>
          <w:lang w:val="es-ES_tradnl"/>
        </w:rPr>
        <w:t xml:space="preserve"> regularmente en las actividades laborales, educativas, deportivas o de otra índole que se organicen</w:t>
      </w:r>
      <w:r>
        <w:rPr>
          <w:lang w:val="es-ES_tradnl"/>
        </w:rPr>
        <w:t xml:space="preserve"> en el Centro Penitenciario; </w:t>
      </w:r>
      <w:r w:rsidRPr="00841760">
        <w:rPr>
          <w:lang w:val="es-ES_tradnl"/>
        </w:rPr>
        <w:t xml:space="preserve">los estudios técnicos </w:t>
      </w:r>
      <w:r>
        <w:rPr>
          <w:lang w:val="es-ES_tradnl"/>
        </w:rPr>
        <w:t>d</w:t>
      </w:r>
      <w:r w:rsidRPr="00841760">
        <w:rPr>
          <w:lang w:val="es-ES_tradnl"/>
        </w:rPr>
        <w:t>el Centro Penitenciario</w:t>
      </w:r>
      <w:r>
        <w:rPr>
          <w:lang w:val="es-ES_tradnl"/>
        </w:rPr>
        <w:t xml:space="preserve"> determinan</w:t>
      </w:r>
      <w:r w:rsidRPr="00841760">
        <w:rPr>
          <w:lang w:val="es-ES_tradnl"/>
        </w:rPr>
        <w:t xml:space="preserve"> la viabilidad de su reinserción social. </w:t>
      </w:r>
    </w:p>
  </w:footnote>
  <w:footnote w:id="13">
    <w:p w:rsidR="003212CC" w:rsidRPr="0040564E" w:rsidRDefault="003212CC" w:rsidP="003212CC">
      <w:pPr>
        <w:pStyle w:val="Textonotapie"/>
        <w:spacing w:line="240" w:lineRule="auto"/>
        <w:jc w:val="both"/>
        <w:rPr>
          <w:lang w:val="es-ES_tradnl"/>
        </w:rPr>
      </w:pPr>
      <w:r>
        <w:rPr>
          <w:lang w:val="es-ES_tradnl"/>
        </w:rPr>
        <w:tab/>
      </w:r>
      <w:r>
        <w:rPr>
          <w:rStyle w:val="Refdenotaalpie"/>
        </w:rPr>
        <w:footnoteRef/>
      </w:r>
      <w:r>
        <w:rPr>
          <w:lang w:val="es-ES_tradnl"/>
        </w:rPr>
        <w:tab/>
      </w:r>
      <w:r w:rsidRPr="0035554F">
        <w:rPr>
          <w:lang w:val="es-ES_tradnl"/>
        </w:rPr>
        <w:t>El Juez de Ejecución podrá decretar la externación provisional de las personas con discapacidad psico-social, bajo supervisión de la Subsecretaría cuando</w:t>
      </w:r>
      <w:r>
        <w:rPr>
          <w:lang w:val="es-ES_tradnl"/>
        </w:rPr>
        <w:t xml:space="preserve"> una</w:t>
      </w:r>
      <w:r w:rsidRPr="0035554F">
        <w:rPr>
          <w:lang w:val="es-ES_tradnl"/>
        </w:rPr>
        <w:t xml:space="preserve"> valoración psiquiátrica </w:t>
      </w:r>
      <w:r>
        <w:rPr>
          <w:lang w:val="es-ES_tradnl"/>
        </w:rPr>
        <w:t>establece</w:t>
      </w:r>
      <w:r w:rsidRPr="0035554F">
        <w:rPr>
          <w:lang w:val="es-ES_tradnl"/>
        </w:rPr>
        <w:t xml:space="preserve"> un adecuado nivel de rehabilitación y la existencia de</w:t>
      </w:r>
      <w:r>
        <w:rPr>
          <w:lang w:val="es-ES_tradnl"/>
        </w:rPr>
        <w:t xml:space="preserve"> un control psicofarmacológico; una</w:t>
      </w:r>
      <w:r w:rsidRPr="0035554F">
        <w:rPr>
          <w:lang w:val="es-ES_tradnl"/>
        </w:rPr>
        <w:t xml:space="preserve"> valoración técnica determin</w:t>
      </w:r>
      <w:r>
        <w:rPr>
          <w:lang w:val="es-ES_tradnl"/>
        </w:rPr>
        <w:t>a</w:t>
      </w:r>
      <w:r w:rsidRPr="0035554F">
        <w:rPr>
          <w:lang w:val="es-ES_tradnl"/>
        </w:rPr>
        <w:t xml:space="preserve"> una adecuada vigilancia y contención familiar, así</w:t>
      </w:r>
      <w:r>
        <w:rPr>
          <w:lang w:val="es-ES_tradnl"/>
        </w:rPr>
        <w:t xml:space="preserve"> como un bajo riesgo social; se cuenta </w:t>
      </w:r>
      <w:r w:rsidRPr="0035554F">
        <w:rPr>
          <w:lang w:val="es-ES_tradnl"/>
        </w:rPr>
        <w:t xml:space="preserve">con un responsable legal </w:t>
      </w:r>
      <w:r>
        <w:rPr>
          <w:lang w:val="es-ES_tradnl"/>
        </w:rPr>
        <w:t>garantizando</w:t>
      </w:r>
      <w:r w:rsidRPr="0035554F">
        <w:rPr>
          <w:lang w:val="es-ES_tradnl"/>
        </w:rPr>
        <w:t xml:space="preserve"> que la persona con discapacidad se sujetará a las obligaciones </w:t>
      </w:r>
      <w:r>
        <w:rPr>
          <w:lang w:val="es-ES_tradnl"/>
        </w:rPr>
        <w:t>establecidas por</w:t>
      </w:r>
      <w:r w:rsidRPr="0035554F">
        <w:rPr>
          <w:lang w:val="es-ES_tradnl"/>
        </w:rPr>
        <w:t xml:space="preserve"> el Juez de Ejecución.</w:t>
      </w:r>
    </w:p>
  </w:footnote>
  <w:footnote w:id="14">
    <w:p w:rsidR="003212CC" w:rsidRPr="00696EE0" w:rsidRDefault="003212CC" w:rsidP="003212CC">
      <w:pPr>
        <w:pStyle w:val="Textonotapie"/>
        <w:rPr>
          <w:lang w:val="es-419"/>
        </w:rPr>
      </w:pPr>
      <w:r>
        <w:tab/>
      </w:r>
      <w:r>
        <w:rPr>
          <w:rStyle w:val="Refdenotaalpie"/>
        </w:rPr>
        <w:footnoteRef/>
      </w:r>
      <w:r>
        <w:tab/>
      </w:r>
      <w:r>
        <w:tab/>
      </w:r>
      <w:r w:rsidRPr="00696EE0">
        <w:rPr>
          <w:lang w:val="es-419"/>
        </w:rPr>
        <w:t xml:space="preserve">Artículo 66 del Código Penal </w:t>
      </w:r>
      <w:r>
        <w:rPr>
          <w:lang w:val="es-419"/>
        </w:rPr>
        <w:t>del Distrito Federal.</w:t>
      </w:r>
    </w:p>
  </w:footnote>
  <w:footnote w:id="15">
    <w:p w:rsidR="003212CC" w:rsidRPr="009E2896" w:rsidRDefault="003212CC" w:rsidP="003212CC">
      <w:pPr>
        <w:pStyle w:val="Textonotapie"/>
        <w:rPr>
          <w:lang w:val="es-419"/>
        </w:rPr>
      </w:pPr>
      <w:r>
        <w:tab/>
      </w:r>
      <w:r>
        <w:rPr>
          <w:rStyle w:val="Refdenotaalpie"/>
        </w:rPr>
        <w:footnoteRef/>
      </w:r>
      <w:r>
        <w:tab/>
      </w:r>
      <w:r>
        <w:tab/>
      </w:r>
      <w:r w:rsidRPr="009E2896">
        <w:rPr>
          <w:lang w:val="es-419"/>
        </w:rPr>
        <w:t xml:space="preserve">Lucila </w:t>
      </w:r>
      <w:proofErr w:type="spellStart"/>
      <w:r w:rsidRPr="009E2896">
        <w:rPr>
          <w:lang w:val="es-419"/>
        </w:rPr>
        <w:t>Bernardini</w:t>
      </w:r>
      <w:proofErr w:type="spellEnd"/>
      <w:r w:rsidRPr="009E2896">
        <w:rPr>
          <w:lang w:val="es-419"/>
        </w:rPr>
        <w:t>, abogad</w:t>
      </w:r>
      <w:r>
        <w:rPr>
          <w:lang w:val="es-419"/>
        </w:rPr>
        <w:t>a de la Universidad Católica Argentina (UCA), Funcionaria de la Defensoría General de la Nación de la República Argentina. Integrante del Consejo del Instituto de Investigación y Estudios en Cultura de Derechos Humanos de México.</w:t>
      </w:r>
      <w:r w:rsidR="0024508D">
        <w:rPr>
          <w:lang w:val="es-419"/>
        </w:rPr>
        <w:t xml:space="preserve"> </w:t>
      </w:r>
    </w:p>
  </w:footnote>
  <w:footnote w:id="16">
    <w:p w:rsidR="003212CC" w:rsidRPr="009E2896" w:rsidRDefault="003212CC" w:rsidP="003212CC">
      <w:pPr>
        <w:pStyle w:val="Textonotapie"/>
        <w:rPr>
          <w:lang w:val="es-419"/>
        </w:rPr>
      </w:pPr>
      <w:r>
        <w:tab/>
      </w:r>
      <w:r>
        <w:rPr>
          <w:rStyle w:val="Refdenotaalpie"/>
        </w:rPr>
        <w:footnoteRef/>
      </w:r>
      <w:r>
        <w:tab/>
      </w:r>
      <w:r w:rsidRPr="009E2896">
        <w:rPr>
          <w:lang w:val="es-419"/>
        </w:rPr>
        <w:t xml:space="preserve">María Florencia </w:t>
      </w:r>
      <w:proofErr w:type="spellStart"/>
      <w:r w:rsidRPr="009E2896">
        <w:rPr>
          <w:lang w:val="es-419"/>
        </w:rPr>
        <w:t>Hegglin</w:t>
      </w:r>
      <w:proofErr w:type="spellEnd"/>
      <w:r w:rsidRPr="009E2896">
        <w:rPr>
          <w:lang w:val="es-419"/>
        </w:rPr>
        <w:t xml:space="preserve">, abogada de dela Facultad de </w:t>
      </w:r>
      <w:r w:rsidRPr="00A406D3">
        <w:rPr>
          <w:lang w:val="es-419"/>
        </w:rPr>
        <w:t>Derecho</w:t>
      </w:r>
      <w:r w:rsidRPr="009E2896">
        <w:rPr>
          <w:lang w:val="es-419"/>
        </w:rPr>
        <w:t xml:space="preserve"> de la Universidad de Buenos Aires</w:t>
      </w:r>
      <w:r>
        <w:rPr>
          <w:lang w:val="es-419"/>
        </w:rPr>
        <w:t>, Defensora Pública oficial ante los Tribunales Orales en lo Criminar y Correccional de la República Argentina.</w:t>
      </w:r>
    </w:p>
  </w:footnote>
  <w:footnote w:id="17">
    <w:p w:rsidR="003212CC" w:rsidRPr="009E2896" w:rsidRDefault="003212CC" w:rsidP="003212CC">
      <w:pPr>
        <w:pStyle w:val="Textonotapie"/>
        <w:rPr>
          <w:lang w:val="es-419"/>
        </w:rPr>
      </w:pPr>
      <w:r>
        <w:tab/>
      </w:r>
      <w:r>
        <w:rPr>
          <w:rStyle w:val="Refdenotaalpie"/>
        </w:rPr>
        <w:footnoteRef/>
      </w:r>
      <w:r>
        <w:tab/>
      </w:r>
      <w:r>
        <w:tab/>
      </w:r>
      <w:r w:rsidRPr="009E2896">
        <w:rPr>
          <w:lang w:val="es-419"/>
        </w:rPr>
        <w:t>Ezequiel Mercurio, Médico especialista en medicina legal y psiquiatr</w:t>
      </w:r>
      <w:r>
        <w:rPr>
          <w:lang w:val="es-419"/>
        </w:rPr>
        <w:t xml:space="preserve">ía, Jefe de Departamento de Psiquiatría del Cuerpo de Peritos y Consultores Técnicos de la Defensoría General de la Nación. Profesor Adjunto del Instituto Universitario de la Policía Federal Argentina. </w:t>
      </w:r>
    </w:p>
  </w:footnote>
  <w:footnote w:id="18">
    <w:p w:rsidR="003212CC" w:rsidRPr="009E2896" w:rsidRDefault="003212CC" w:rsidP="003212CC">
      <w:pPr>
        <w:pStyle w:val="Textonotapie"/>
        <w:rPr>
          <w:lang w:val="es-419"/>
        </w:rPr>
      </w:pPr>
      <w:r>
        <w:tab/>
      </w:r>
      <w:r>
        <w:rPr>
          <w:rStyle w:val="Refdenotaalpie"/>
        </w:rPr>
        <w:footnoteRef/>
      </w:r>
      <w:r>
        <w:tab/>
      </w:r>
      <w:r>
        <w:tab/>
      </w:r>
      <w:r w:rsidRPr="009E2896">
        <w:rPr>
          <w:lang w:val="es-419"/>
        </w:rPr>
        <w:t>El Estado parte</w:t>
      </w:r>
      <w:r w:rsidR="0024508D">
        <w:rPr>
          <w:lang w:val="es-419"/>
        </w:rPr>
        <w:t xml:space="preserve"> </w:t>
      </w:r>
      <w:r>
        <w:rPr>
          <w:lang w:val="es-419"/>
        </w:rPr>
        <w:t>transcribe el título IX que recoge lo referente al Procedimiento para Personas Inimputables. Resalta que, siguiendo esta reforma, deben proveerse los ajustes razonables para garantizar el acceso a la justicia, pero no explica cómo esto cambia la realidad denunciada por el autor.</w:t>
      </w:r>
      <w:r w:rsidR="0024508D">
        <w:rPr>
          <w:lang w:val="es-419"/>
        </w:rPr>
        <w:t xml:space="preserve"> </w:t>
      </w:r>
    </w:p>
  </w:footnote>
  <w:footnote w:id="19">
    <w:p w:rsidR="003212CC" w:rsidRPr="00C24D89" w:rsidRDefault="003212CC" w:rsidP="003212CC">
      <w:pPr>
        <w:pStyle w:val="Textonotapie"/>
      </w:pPr>
      <w:r w:rsidRPr="0029628D">
        <w:tab/>
      </w:r>
      <w:r w:rsidRPr="0029628D">
        <w:rPr>
          <w:rStyle w:val="Refdenotaalpie"/>
        </w:rPr>
        <w:footnoteRef/>
      </w:r>
      <w:r w:rsidRPr="0029628D">
        <w:tab/>
        <w:t xml:space="preserve">Véase la comunicación núm. 10/2013, </w:t>
      </w:r>
      <w:r w:rsidRPr="0029628D">
        <w:rPr>
          <w:i/>
          <w:iCs/>
        </w:rPr>
        <w:t>S. C. c. el Brasil</w:t>
      </w:r>
      <w:r w:rsidRPr="0029628D">
        <w:t>, decisión de inadmisibilidad adoptada el 2</w:t>
      </w:r>
      <w:r>
        <w:t xml:space="preserve"> de octubre de 2014, párr. 6.4.; Véase también la comunicación núm. 7/2012, </w:t>
      </w:r>
      <w:r w:rsidRPr="00C24D89">
        <w:rPr>
          <w:i/>
        </w:rPr>
        <w:t xml:space="preserve">Marlos James Noble c. </w:t>
      </w:r>
      <w:r>
        <w:rPr>
          <w:i/>
        </w:rPr>
        <w:t xml:space="preserve">Australia, </w:t>
      </w:r>
      <w:r>
        <w:t>dictamen adoptado el 2 de septiembre de 2016, párr. 8.4</w:t>
      </w:r>
      <w:r w:rsidR="00BB2761">
        <w:t>.</w:t>
      </w:r>
    </w:p>
  </w:footnote>
  <w:footnote w:id="20">
    <w:p w:rsidR="004A3134" w:rsidRPr="00A26259" w:rsidRDefault="004A3134" w:rsidP="004A3134">
      <w:pPr>
        <w:pStyle w:val="Textonotapie"/>
        <w:rPr>
          <w:u w:val="single"/>
          <w:lang w:val="es-419"/>
        </w:rPr>
      </w:pPr>
      <w:r>
        <w:tab/>
      </w:r>
      <w:r>
        <w:rPr>
          <w:rStyle w:val="Refdenotaalpie"/>
        </w:rPr>
        <w:footnoteRef/>
      </w:r>
      <w:r>
        <w:t xml:space="preserve"> </w:t>
      </w:r>
      <w:r>
        <w:tab/>
        <w:t>Véase la sentencia 32911/96 de 26 de julio de 2002, párr. 45,</w:t>
      </w:r>
      <w:r w:rsidRPr="00BE4666">
        <w:rPr>
          <w:u w:val="single"/>
        </w:rPr>
        <w:t xml:space="preserve"> </w:t>
      </w:r>
      <w:proofErr w:type="spellStart"/>
      <w:r w:rsidRPr="000C3552">
        <w:rPr>
          <w:i/>
          <w:u w:val="single"/>
        </w:rPr>
        <w:t>Meftah</w:t>
      </w:r>
      <w:proofErr w:type="spellEnd"/>
      <w:r w:rsidRPr="000C3552">
        <w:rPr>
          <w:i/>
          <w:u w:val="single"/>
        </w:rPr>
        <w:t xml:space="preserve"> y </w:t>
      </w:r>
      <w:r w:rsidRPr="000C3552">
        <w:rPr>
          <w:i/>
        </w:rPr>
        <w:t>otros</w:t>
      </w:r>
      <w:r w:rsidRPr="000C3552">
        <w:rPr>
          <w:i/>
          <w:u w:val="single"/>
        </w:rPr>
        <w:t xml:space="preserve"> </w:t>
      </w:r>
      <w:r w:rsidR="000C3552">
        <w:rPr>
          <w:i/>
          <w:u w:val="single"/>
        </w:rPr>
        <w:t>c</w:t>
      </w:r>
      <w:r w:rsidRPr="000C3552">
        <w:rPr>
          <w:i/>
          <w:u w:val="single"/>
        </w:rPr>
        <w:t>. Francia</w:t>
      </w:r>
      <w:r>
        <w:rPr>
          <w:i/>
          <w:u w:val="single"/>
        </w:rPr>
        <w:t>,</w:t>
      </w:r>
      <w:r>
        <w:rPr>
          <w:u w:val="single"/>
        </w:rPr>
        <w:t xml:space="preserve"> Tribunal Europeo de Derechos Humanos</w:t>
      </w:r>
      <w:r>
        <w:t>.</w:t>
      </w:r>
    </w:p>
  </w:footnote>
  <w:footnote w:id="21">
    <w:p w:rsidR="003212CC" w:rsidRPr="0029628D" w:rsidRDefault="003212CC" w:rsidP="003212CC">
      <w:pPr>
        <w:pStyle w:val="Textonotapie"/>
      </w:pPr>
      <w:r w:rsidRPr="0029628D">
        <w:tab/>
      </w:r>
      <w:r w:rsidRPr="0029628D">
        <w:rPr>
          <w:rStyle w:val="Refdenotaalpie"/>
        </w:rPr>
        <w:footnoteRef/>
      </w:r>
      <w:r>
        <w:tab/>
      </w:r>
      <w:r w:rsidRPr="0029628D">
        <w:t xml:space="preserve">Véase la comunicación núm. 5/2011, </w:t>
      </w:r>
      <w:proofErr w:type="spellStart"/>
      <w:r w:rsidRPr="0029628D">
        <w:rPr>
          <w:i/>
        </w:rPr>
        <w:t>Jungelin</w:t>
      </w:r>
      <w:proofErr w:type="spellEnd"/>
      <w:r w:rsidRPr="0029628D">
        <w:rPr>
          <w:i/>
        </w:rPr>
        <w:t xml:space="preserve"> c. Suecia</w:t>
      </w:r>
      <w:r w:rsidRPr="0029628D">
        <w:t>, dictamen aprobado el 2 de octubre de</w:t>
      </w:r>
      <w:r>
        <w:t> </w:t>
      </w:r>
      <w:r w:rsidRPr="0029628D">
        <w:t>2014, párr. 10.5.</w:t>
      </w:r>
    </w:p>
  </w:footnote>
  <w:footnote w:id="22">
    <w:p w:rsidR="003212CC" w:rsidRPr="00B33976" w:rsidRDefault="003212CC" w:rsidP="003212CC">
      <w:pPr>
        <w:pStyle w:val="Textonotapie"/>
        <w:ind w:hanging="567"/>
        <w:rPr>
          <w:lang w:val="es-419"/>
        </w:rPr>
      </w:pPr>
      <w:r>
        <w:tab/>
      </w:r>
      <w:r>
        <w:rPr>
          <w:rStyle w:val="Refdenotaalpie"/>
        </w:rPr>
        <w:footnoteRef/>
      </w:r>
      <w:r>
        <w:tab/>
      </w:r>
      <w:r>
        <w:tab/>
      </w:r>
      <w:r w:rsidRPr="00B33976">
        <w:rPr>
          <w:lang w:val="es-419"/>
        </w:rPr>
        <w:t>Véase Observación General N°1 (2014), relativa al art</w:t>
      </w:r>
      <w:r>
        <w:rPr>
          <w:lang w:val="es-419"/>
        </w:rPr>
        <w:t xml:space="preserve">ículo 12: Igual reconocimiento como persona ante la ley (CRPD/C/GC/1, párr. 38). </w:t>
      </w:r>
    </w:p>
  </w:footnote>
  <w:footnote w:id="23">
    <w:p w:rsidR="003212CC" w:rsidRPr="0029628D" w:rsidRDefault="003212CC" w:rsidP="003212CC">
      <w:pPr>
        <w:pStyle w:val="Textonotapie"/>
      </w:pPr>
      <w:r w:rsidRPr="0029628D">
        <w:tab/>
      </w:r>
      <w:r w:rsidRPr="0029628D">
        <w:rPr>
          <w:rStyle w:val="Refdenotaalpie"/>
        </w:rPr>
        <w:footnoteRef/>
      </w:r>
      <w:r w:rsidRPr="0029628D">
        <w:tab/>
        <w:t>Véanse las directrices del Comité sobre el artículo 14 de la Convención, relativo al derecho a la libertad y la seguridad de las personas con discapacidad</w:t>
      </w:r>
      <w:r w:rsidRPr="0029628D">
        <w:rPr>
          <w:spacing w:val="-2"/>
        </w:rPr>
        <w:t xml:space="preserve">, </w:t>
      </w:r>
      <w:r w:rsidRPr="0029628D">
        <w:rPr>
          <w:lang w:eastAsia="en-GB"/>
        </w:rPr>
        <w:t>aprobadas durante el 14º período de sesiones del Comité (2015), párr. 3.</w:t>
      </w:r>
    </w:p>
  </w:footnote>
  <w:footnote w:id="24">
    <w:p w:rsidR="00252175" w:rsidRPr="00252175" w:rsidRDefault="00252175" w:rsidP="00252175">
      <w:pPr>
        <w:pStyle w:val="Textonotapie"/>
        <w:widowControl w:val="0"/>
        <w:tabs>
          <w:tab w:val="clear" w:pos="1021"/>
          <w:tab w:val="right" w:pos="1020"/>
        </w:tabs>
        <w:suppressAutoHyphens/>
        <w:rPr>
          <w:lang w:val="es-419"/>
        </w:rPr>
      </w:pPr>
      <w:r>
        <w:tab/>
      </w:r>
      <w:r>
        <w:rPr>
          <w:rStyle w:val="Refdenotaalpie"/>
        </w:rPr>
        <w:footnoteRef/>
      </w:r>
      <w:r>
        <w:tab/>
        <w:t xml:space="preserve">Sentencia 218/11 emitida por el Juzgado de lo Penal en el Distrito Federal de 5 de diciembre de 2011.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A4E" w:rsidRPr="002764F4" w:rsidRDefault="00625DA2">
    <w:pPr>
      <w:pStyle w:val="Encabezado"/>
      <w:rPr>
        <w:lang w:val="es-419"/>
      </w:rPr>
    </w:pPr>
    <w:r w:rsidRPr="002764F4">
      <w:rPr>
        <w:lang w:val="es-419"/>
      </w:rPr>
      <w:t>CRPD/C/2</w:t>
    </w:r>
    <w:r w:rsidR="00084BD8" w:rsidRPr="002764F4">
      <w:rPr>
        <w:lang w:val="es-419"/>
      </w:rPr>
      <w:t>2</w:t>
    </w:r>
    <w:r w:rsidRPr="002764F4">
      <w:rPr>
        <w:lang w:val="es-419"/>
      </w:rPr>
      <w:t>/D/32</w:t>
    </w:r>
    <w:r w:rsidR="00D06FDA" w:rsidRPr="002764F4">
      <w:rPr>
        <w:lang w:val="es-419"/>
      </w:rPr>
      <w:t>/2015</w:t>
    </w:r>
    <w:r w:rsidR="002764F4" w:rsidRPr="002764F4">
      <w:rPr>
        <w:lang w:val="es-419"/>
      </w:rPr>
      <w:t xml:space="preserve"> </w:t>
    </w:r>
    <w:r w:rsidR="007B22FE" w:rsidRPr="002764F4">
      <w:rPr>
        <w:lang w:val="es-419"/>
      </w:rPr>
      <w:t>versión</w:t>
    </w:r>
    <w:r w:rsidR="007B22FE">
      <w:rPr>
        <w:lang w:val="es-419"/>
      </w:rPr>
      <w:t xml:space="preserve"> avanzada sin editar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A4E" w:rsidRPr="00A95A4E" w:rsidRDefault="002764F4" w:rsidP="00A95A4E">
    <w:pPr>
      <w:pStyle w:val="Encabezado"/>
      <w:jc w:val="right"/>
    </w:pPr>
    <w:r>
      <w:t xml:space="preserve">versión </w:t>
    </w:r>
    <w:r w:rsidR="007B22FE">
      <w:t xml:space="preserve">avanzada sin editar </w:t>
    </w:r>
    <w:r w:rsidR="00D06FDA" w:rsidRPr="00D06FDA">
      <w:t>CRPD/C/2</w:t>
    </w:r>
    <w:r w:rsidR="00084BD8">
      <w:t>2</w:t>
    </w:r>
    <w:r w:rsidR="00625DA2">
      <w:t>/D/32</w:t>
    </w:r>
    <w:r w:rsidR="00D06FDA" w:rsidRPr="00D06FDA">
      <w:t>/2015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FC0" w:rsidRDefault="002B4F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3A2104D"/>
    <w:multiLevelType w:val="multilevel"/>
    <w:tmpl w:val="0C0A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42577A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3A0F1E"/>
    <w:multiLevelType w:val="hybridMultilevel"/>
    <w:tmpl w:val="2244FCA0"/>
    <w:lvl w:ilvl="0" w:tplc="20E43B9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1C5FA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5B834FB"/>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E7D3283"/>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F2E28B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9"/>
  </w:num>
  <w:num w:numId="2">
    <w:abstractNumId w:val="13"/>
  </w:num>
  <w:num w:numId="3">
    <w:abstractNumId w:val="21"/>
  </w:num>
  <w:num w:numId="4">
    <w:abstractNumId w:val="20"/>
  </w:num>
  <w:num w:numId="5">
    <w:abstractNumId w:val="16"/>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4"/>
  </w:num>
  <w:num w:numId="18">
    <w:abstractNumId w:val="17"/>
  </w:num>
  <w:num w:numId="19">
    <w:abstractNumId w:val="11"/>
  </w:num>
  <w:num w:numId="20">
    <w:abstractNumId w:val="18"/>
  </w:num>
  <w:num w:numId="21">
    <w:abstractNumId w:val="10"/>
  </w:num>
  <w:num w:numId="2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BCB"/>
    <w:rsid w:val="000104B3"/>
    <w:rsid w:val="000408FC"/>
    <w:rsid w:val="00060246"/>
    <w:rsid w:val="000706F6"/>
    <w:rsid w:val="00076F5C"/>
    <w:rsid w:val="0008079C"/>
    <w:rsid w:val="00084BD8"/>
    <w:rsid w:val="0008650D"/>
    <w:rsid w:val="000B57E7"/>
    <w:rsid w:val="000C3552"/>
    <w:rsid w:val="000D359E"/>
    <w:rsid w:val="000E0AFE"/>
    <w:rsid w:val="000E5EBA"/>
    <w:rsid w:val="000F09DF"/>
    <w:rsid w:val="000F25E5"/>
    <w:rsid w:val="000F61B2"/>
    <w:rsid w:val="00104DBE"/>
    <w:rsid w:val="001075E9"/>
    <w:rsid w:val="001158DF"/>
    <w:rsid w:val="0013177B"/>
    <w:rsid w:val="00144F25"/>
    <w:rsid w:val="00151B3D"/>
    <w:rsid w:val="00180183"/>
    <w:rsid w:val="00195509"/>
    <w:rsid w:val="00196389"/>
    <w:rsid w:val="001A1BAC"/>
    <w:rsid w:val="001A3F7E"/>
    <w:rsid w:val="001A5B43"/>
    <w:rsid w:val="001C0BCB"/>
    <w:rsid w:val="001C396A"/>
    <w:rsid w:val="001C7A89"/>
    <w:rsid w:val="001D4984"/>
    <w:rsid w:val="001E30A1"/>
    <w:rsid w:val="001E35CC"/>
    <w:rsid w:val="00211390"/>
    <w:rsid w:val="002156BB"/>
    <w:rsid w:val="00226EF4"/>
    <w:rsid w:val="0024508D"/>
    <w:rsid w:val="00245E77"/>
    <w:rsid w:val="00251C12"/>
    <w:rsid w:val="00252175"/>
    <w:rsid w:val="00255686"/>
    <w:rsid w:val="0026579B"/>
    <w:rsid w:val="00267D91"/>
    <w:rsid w:val="002764F4"/>
    <w:rsid w:val="00286AAB"/>
    <w:rsid w:val="00294207"/>
    <w:rsid w:val="002967E3"/>
    <w:rsid w:val="002A2EFC"/>
    <w:rsid w:val="002A3F32"/>
    <w:rsid w:val="002A70C0"/>
    <w:rsid w:val="002B4FC0"/>
    <w:rsid w:val="002D16F0"/>
    <w:rsid w:val="002D5AAC"/>
    <w:rsid w:val="002E161E"/>
    <w:rsid w:val="00301299"/>
    <w:rsid w:val="003126F8"/>
    <w:rsid w:val="00313431"/>
    <w:rsid w:val="00320F20"/>
    <w:rsid w:val="003212CC"/>
    <w:rsid w:val="00322004"/>
    <w:rsid w:val="00334B69"/>
    <w:rsid w:val="003402C2"/>
    <w:rsid w:val="003538EB"/>
    <w:rsid w:val="00381C24"/>
    <w:rsid w:val="003958D0"/>
    <w:rsid w:val="003A7F74"/>
    <w:rsid w:val="003D064D"/>
    <w:rsid w:val="0041031F"/>
    <w:rsid w:val="00411525"/>
    <w:rsid w:val="0041742E"/>
    <w:rsid w:val="00431238"/>
    <w:rsid w:val="00454E07"/>
    <w:rsid w:val="004A3134"/>
    <w:rsid w:val="004A331F"/>
    <w:rsid w:val="004A4C2C"/>
    <w:rsid w:val="004B18CC"/>
    <w:rsid w:val="004B19F2"/>
    <w:rsid w:val="004C4A3B"/>
    <w:rsid w:val="004D60E7"/>
    <w:rsid w:val="0050108D"/>
    <w:rsid w:val="005016AF"/>
    <w:rsid w:val="005076AF"/>
    <w:rsid w:val="0051152C"/>
    <w:rsid w:val="0052159C"/>
    <w:rsid w:val="00540923"/>
    <w:rsid w:val="0055380B"/>
    <w:rsid w:val="005675E2"/>
    <w:rsid w:val="00567F30"/>
    <w:rsid w:val="00572E19"/>
    <w:rsid w:val="0057510D"/>
    <w:rsid w:val="00577978"/>
    <w:rsid w:val="00592509"/>
    <w:rsid w:val="005A7E43"/>
    <w:rsid w:val="005B104B"/>
    <w:rsid w:val="005E24D9"/>
    <w:rsid w:val="005E535B"/>
    <w:rsid w:val="005F0B42"/>
    <w:rsid w:val="005F6306"/>
    <w:rsid w:val="006011C0"/>
    <w:rsid w:val="0061021D"/>
    <w:rsid w:val="00625DA2"/>
    <w:rsid w:val="00630DB0"/>
    <w:rsid w:val="00632A54"/>
    <w:rsid w:val="006366A7"/>
    <w:rsid w:val="00642E9C"/>
    <w:rsid w:val="0064421C"/>
    <w:rsid w:val="00657EEA"/>
    <w:rsid w:val="00690605"/>
    <w:rsid w:val="006923D1"/>
    <w:rsid w:val="006B0321"/>
    <w:rsid w:val="006B7D54"/>
    <w:rsid w:val="006E7863"/>
    <w:rsid w:val="006F35EE"/>
    <w:rsid w:val="00710CF8"/>
    <w:rsid w:val="00716C6F"/>
    <w:rsid w:val="00727D50"/>
    <w:rsid w:val="00740447"/>
    <w:rsid w:val="007464CC"/>
    <w:rsid w:val="007575E9"/>
    <w:rsid w:val="007B22FE"/>
    <w:rsid w:val="007C317E"/>
    <w:rsid w:val="007C3DBB"/>
    <w:rsid w:val="007C6A72"/>
    <w:rsid w:val="007D6339"/>
    <w:rsid w:val="007F233F"/>
    <w:rsid w:val="008011F3"/>
    <w:rsid w:val="00802199"/>
    <w:rsid w:val="00830923"/>
    <w:rsid w:val="00834B71"/>
    <w:rsid w:val="0086445C"/>
    <w:rsid w:val="008A08D7"/>
    <w:rsid w:val="008C3B6E"/>
    <w:rsid w:val="008C75E9"/>
    <w:rsid w:val="00906890"/>
    <w:rsid w:val="00913CC5"/>
    <w:rsid w:val="00951972"/>
    <w:rsid w:val="009A1249"/>
    <w:rsid w:val="009B305E"/>
    <w:rsid w:val="009C084E"/>
    <w:rsid w:val="009C0896"/>
    <w:rsid w:val="009C22C4"/>
    <w:rsid w:val="009C5EB2"/>
    <w:rsid w:val="009D4DF0"/>
    <w:rsid w:val="009E59E3"/>
    <w:rsid w:val="009E78C4"/>
    <w:rsid w:val="00A00CB2"/>
    <w:rsid w:val="00A500CE"/>
    <w:rsid w:val="00A54AE2"/>
    <w:rsid w:val="00A56383"/>
    <w:rsid w:val="00A76909"/>
    <w:rsid w:val="00A909B4"/>
    <w:rsid w:val="00A917B3"/>
    <w:rsid w:val="00A95A4E"/>
    <w:rsid w:val="00AB4B51"/>
    <w:rsid w:val="00AB4EB2"/>
    <w:rsid w:val="00AD3761"/>
    <w:rsid w:val="00AD6AF4"/>
    <w:rsid w:val="00AE15F0"/>
    <w:rsid w:val="00AE2F09"/>
    <w:rsid w:val="00AF0918"/>
    <w:rsid w:val="00AF17B6"/>
    <w:rsid w:val="00AF7C68"/>
    <w:rsid w:val="00B10CC7"/>
    <w:rsid w:val="00B10CED"/>
    <w:rsid w:val="00B21487"/>
    <w:rsid w:val="00B31969"/>
    <w:rsid w:val="00B52ED3"/>
    <w:rsid w:val="00B62458"/>
    <w:rsid w:val="00B6350A"/>
    <w:rsid w:val="00B905B7"/>
    <w:rsid w:val="00BB04A0"/>
    <w:rsid w:val="00BB2761"/>
    <w:rsid w:val="00BC161C"/>
    <w:rsid w:val="00BD33EE"/>
    <w:rsid w:val="00C07675"/>
    <w:rsid w:val="00C336DA"/>
    <w:rsid w:val="00C377E3"/>
    <w:rsid w:val="00C46C05"/>
    <w:rsid w:val="00C60F0C"/>
    <w:rsid w:val="00C64B92"/>
    <w:rsid w:val="00C661B3"/>
    <w:rsid w:val="00C67ADE"/>
    <w:rsid w:val="00C805C9"/>
    <w:rsid w:val="00C94460"/>
    <w:rsid w:val="00CA00CD"/>
    <w:rsid w:val="00CA1679"/>
    <w:rsid w:val="00CD2A33"/>
    <w:rsid w:val="00CE34F5"/>
    <w:rsid w:val="00CF086A"/>
    <w:rsid w:val="00CF6BFE"/>
    <w:rsid w:val="00D062A4"/>
    <w:rsid w:val="00D06FDA"/>
    <w:rsid w:val="00D4404E"/>
    <w:rsid w:val="00D738F9"/>
    <w:rsid w:val="00D759B3"/>
    <w:rsid w:val="00D90138"/>
    <w:rsid w:val="00D941B5"/>
    <w:rsid w:val="00D97076"/>
    <w:rsid w:val="00DA56D2"/>
    <w:rsid w:val="00DB6288"/>
    <w:rsid w:val="00DF3BF7"/>
    <w:rsid w:val="00E00811"/>
    <w:rsid w:val="00E01981"/>
    <w:rsid w:val="00E21871"/>
    <w:rsid w:val="00E23FAA"/>
    <w:rsid w:val="00E31DCB"/>
    <w:rsid w:val="00E3587C"/>
    <w:rsid w:val="00E549B2"/>
    <w:rsid w:val="00E73F76"/>
    <w:rsid w:val="00EE5C47"/>
    <w:rsid w:val="00EF0FB6"/>
    <w:rsid w:val="00EF1360"/>
    <w:rsid w:val="00EF3220"/>
    <w:rsid w:val="00F144EE"/>
    <w:rsid w:val="00F33585"/>
    <w:rsid w:val="00F33A99"/>
    <w:rsid w:val="00F75B78"/>
    <w:rsid w:val="00FA3BFA"/>
    <w:rsid w:val="00FB07F3"/>
    <w:rsid w:val="00FB5AA8"/>
    <w:rsid w:val="00FB6CD8"/>
    <w:rsid w:val="00FD2EF7"/>
    <w:rsid w:val="00FD5D66"/>
    <w:rsid w:val="00FE131B"/>
    <w:rsid w:val="00FE33B5"/>
    <w:rsid w:val="00FF3ABF"/>
    <w:rsid w:val="00FF3DE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82E124-9B7E-4511-A0B6-57BC536F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431"/>
    <w:pPr>
      <w:spacing w:line="240" w:lineRule="atLeast"/>
    </w:pPr>
    <w:rPr>
      <w:lang w:val="es-ES" w:eastAsia="es-ES"/>
    </w:rPr>
  </w:style>
  <w:style w:type="paragraph" w:styleId="Ttulo1">
    <w:name w:val="heading 1"/>
    <w:aliases w:val="Table_G,Cuadro_G"/>
    <w:basedOn w:val="SingleTxtG"/>
    <w:next w:val="SingleTxtG"/>
    <w:link w:val="Ttulo1Car"/>
    <w:qFormat/>
    <w:rsid w:val="00FB6CD8"/>
    <w:pPr>
      <w:keepNext/>
      <w:spacing w:after="0" w:line="240" w:lineRule="auto"/>
      <w:outlineLvl w:val="0"/>
    </w:pPr>
    <w:rPr>
      <w:rFonts w:cs="Arial"/>
      <w:bCs/>
      <w:szCs w:val="32"/>
    </w:rPr>
  </w:style>
  <w:style w:type="paragraph" w:styleId="Ttulo2">
    <w:name w:val="heading 2"/>
    <w:basedOn w:val="Normal"/>
    <w:next w:val="Normal"/>
    <w:qFormat/>
    <w:rsid w:val="00313431"/>
    <w:pPr>
      <w:keepNext/>
      <w:outlineLvl w:val="1"/>
    </w:pPr>
    <w:rPr>
      <w:rFonts w:cs="Arial"/>
      <w:bCs/>
      <w:iCs/>
      <w:szCs w:val="28"/>
    </w:rPr>
  </w:style>
  <w:style w:type="paragraph" w:styleId="Ttulo3">
    <w:name w:val="heading 3"/>
    <w:basedOn w:val="Normal"/>
    <w:next w:val="Normal"/>
    <w:qFormat/>
    <w:rsid w:val="00313431"/>
    <w:pPr>
      <w:keepNext/>
      <w:spacing w:before="240" w:after="60"/>
      <w:outlineLvl w:val="2"/>
    </w:pPr>
    <w:rPr>
      <w:rFonts w:ascii="Arial" w:hAnsi="Arial" w:cs="Arial"/>
      <w:b/>
      <w:bCs/>
      <w:sz w:val="26"/>
      <w:szCs w:val="26"/>
    </w:rPr>
  </w:style>
  <w:style w:type="paragraph" w:styleId="Ttulo4">
    <w:name w:val="heading 4"/>
    <w:basedOn w:val="Normal"/>
    <w:next w:val="Normal"/>
    <w:qFormat/>
    <w:rsid w:val="00313431"/>
    <w:pPr>
      <w:keepNext/>
      <w:spacing w:before="240" w:after="60"/>
      <w:outlineLvl w:val="3"/>
    </w:pPr>
    <w:rPr>
      <w:b/>
      <w:bCs/>
      <w:sz w:val="28"/>
      <w:szCs w:val="28"/>
    </w:rPr>
  </w:style>
  <w:style w:type="paragraph" w:styleId="Ttulo5">
    <w:name w:val="heading 5"/>
    <w:basedOn w:val="Normal"/>
    <w:next w:val="Normal"/>
    <w:qFormat/>
    <w:rsid w:val="00313431"/>
    <w:pPr>
      <w:spacing w:before="240" w:after="60"/>
      <w:outlineLvl w:val="4"/>
    </w:pPr>
    <w:rPr>
      <w:b/>
      <w:bCs/>
      <w:i/>
      <w:iCs/>
      <w:sz w:val="26"/>
      <w:szCs w:val="26"/>
    </w:rPr>
  </w:style>
  <w:style w:type="paragraph" w:styleId="Ttulo6">
    <w:name w:val="heading 6"/>
    <w:basedOn w:val="Normal"/>
    <w:next w:val="Normal"/>
    <w:qFormat/>
    <w:rsid w:val="00313431"/>
    <w:pPr>
      <w:spacing w:before="240" w:after="60"/>
      <w:outlineLvl w:val="5"/>
    </w:pPr>
    <w:rPr>
      <w:b/>
      <w:bCs/>
      <w:sz w:val="22"/>
      <w:szCs w:val="22"/>
    </w:rPr>
  </w:style>
  <w:style w:type="paragraph" w:styleId="Ttulo7">
    <w:name w:val="heading 7"/>
    <w:basedOn w:val="Normal"/>
    <w:next w:val="Normal"/>
    <w:qFormat/>
    <w:rsid w:val="00313431"/>
    <w:pPr>
      <w:spacing w:before="240" w:after="60"/>
      <w:outlineLvl w:val="6"/>
    </w:pPr>
    <w:rPr>
      <w:sz w:val="24"/>
      <w:szCs w:val="24"/>
    </w:rPr>
  </w:style>
  <w:style w:type="paragraph" w:styleId="Ttulo8">
    <w:name w:val="heading 8"/>
    <w:basedOn w:val="Normal"/>
    <w:next w:val="Normal"/>
    <w:qFormat/>
    <w:rsid w:val="00313431"/>
    <w:pPr>
      <w:spacing w:before="240" w:after="60"/>
      <w:outlineLvl w:val="7"/>
    </w:pPr>
    <w:rPr>
      <w:i/>
      <w:iCs/>
      <w:sz w:val="24"/>
      <w:szCs w:val="24"/>
    </w:rPr>
  </w:style>
  <w:style w:type="paragraph" w:styleId="Ttulo9">
    <w:name w:val="heading 9"/>
    <w:basedOn w:val="Normal"/>
    <w:next w:val="Normal"/>
    <w:qFormat/>
    <w:rsid w:val="0031343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Footnote number,ftref"/>
    <w:qFormat/>
    <w:rsid w:val="00313431"/>
    <w:rPr>
      <w:rFonts w:ascii="Times New Roman" w:hAnsi="Times New Roman"/>
      <w:sz w:val="18"/>
      <w:vertAlign w:val="superscript"/>
    </w:rPr>
  </w:style>
  <w:style w:type="paragraph" w:customStyle="1" w:styleId="HMG">
    <w:name w:val="_ H __M_G"/>
    <w:basedOn w:val="Normal"/>
    <w:next w:val="Normal"/>
    <w:qFormat/>
    <w:rsid w:val="00313431"/>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A95A4E"/>
    <w:pPr>
      <w:keepNext/>
      <w:keepLines/>
      <w:tabs>
        <w:tab w:val="right" w:pos="851"/>
      </w:tabs>
      <w:suppressAutoHyphens/>
      <w:spacing w:before="360" w:after="240" w:line="300" w:lineRule="exact"/>
      <w:ind w:left="1134" w:right="1134" w:hanging="1134"/>
    </w:pPr>
    <w:rPr>
      <w:b/>
      <w:sz w:val="28"/>
    </w:rPr>
  </w:style>
  <w:style w:type="paragraph" w:styleId="Textodeglobo">
    <w:name w:val="Balloon Text"/>
    <w:basedOn w:val="Normal"/>
    <w:link w:val="TextodegloboCar"/>
    <w:rsid w:val="00592509"/>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592509"/>
    <w:rPr>
      <w:rFonts w:ascii="Tahoma" w:hAnsi="Tahoma" w:cs="Tahoma"/>
      <w:sz w:val="16"/>
      <w:szCs w:val="16"/>
      <w:lang w:val="es-ES" w:eastAsia="es-ES"/>
    </w:rPr>
  </w:style>
  <w:style w:type="paragraph" w:customStyle="1" w:styleId="H1G">
    <w:name w:val="_ H_1_G"/>
    <w:basedOn w:val="Normal"/>
    <w:next w:val="Normal"/>
    <w:qFormat/>
    <w:rsid w:val="00313431"/>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313431"/>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313431"/>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313431"/>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link w:val="EncabezadoCar"/>
    <w:qFormat/>
    <w:rsid w:val="00D97076"/>
    <w:pPr>
      <w:pBdr>
        <w:bottom w:val="single" w:sz="4" w:space="4" w:color="auto"/>
      </w:pBdr>
      <w:spacing w:line="240" w:lineRule="auto"/>
    </w:pPr>
    <w:rPr>
      <w:b/>
      <w:sz w:val="18"/>
    </w:rPr>
  </w:style>
  <w:style w:type="paragraph" w:customStyle="1" w:styleId="SingleTxtG">
    <w:name w:val="_ Single Txt_G"/>
    <w:basedOn w:val="Normal"/>
    <w:link w:val="SingleTxtGChar"/>
    <w:qFormat/>
    <w:rsid w:val="00313431"/>
    <w:pPr>
      <w:spacing w:after="120"/>
      <w:ind w:left="1134" w:right="1134"/>
      <w:jc w:val="both"/>
    </w:pPr>
  </w:style>
  <w:style w:type="paragraph" w:customStyle="1" w:styleId="SMG">
    <w:name w:val="__S_M_G"/>
    <w:basedOn w:val="Normal"/>
    <w:next w:val="Normal"/>
    <w:rsid w:val="00313431"/>
    <w:pPr>
      <w:keepNext/>
      <w:keepLines/>
      <w:suppressAutoHyphens/>
      <w:spacing w:before="240" w:after="240" w:line="420" w:lineRule="exact"/>
      <w:ind w:left="1134" w:right="1134"/>
    </w:pPr>
    <w:rPr>
      <w:b/>
      <w:sz w:val="40"/>
    </w:rPr>
  </w:style>
  <w:style w:type="paragraph" w:customStyle="1" w:styleId="SLG">
    <w:name w:val="__S_L_G"/>
    <w:basedOn w:val="Normal"/>
    <w:next w:val="Normal"/>
    <w:rsid w:val="00313431"/>
    <w:pPr>
      <w:keepNext/>
      <w:keepLines/>
      <w:spacing w:before="240" w:after="240" w:line="580" w:lineRule="exact"/>
      <w:ind w:left="1134" w:right="1134"/>
    </w:pPr>
    <w:rPr>
      <w:b/>
      <w:sz w:val="56"/>
    </w:rPr>
  </w:style>
  <w:style w:type="paragraph" w:customStyle="1" w:styleId="SSG">
    <w:name w:val="__S_S_G"/>
    <w:basedOn w:val="Normal"/>
    <w:next w:val="Normal"/>
    <w:rsid w:val="00313431"/>
    <w:pPr>
      <w:keepNext/>
      <w:keepLines/>
      <w:spacing w:before="240" w:after="240" w:line="300" w:lineRule="exact"/>
      <w:ind w:left="1134" w:right="1134"/>
    </w:pPr>
    <w:rPr>
      <w:b/>
      <w:sz w:val="28"/>
    </w:rPr>
  </w:style>
  <w:style w:type="paragraph" w:styleId="Piedepgina">
    <w:name w:val="footer"/>
    <w:aliases w:val="3_G"/>
    <w:basedOn w:val="Normal"/>
    <w:next w:val="Normal"/>
    <w:link w:val="PiedepginaCar"/>
    <w:qFormat/>
    <w:rsid w:val="00313431"/>
    <w:rPr>
      <w:sz w:val="16"/>
    </w:rPr>
  </w:style>
  <w:style w:type="paragraph" w:customStyle="1" w:styleId="XLargeG">
    <w:name w:val="__XLarge_G"/>
    <w:basedOn w:val="Normal"/>
    <w:next w:val="Normal"/>
    <w:rsid w:val="00313431"/>
    <w:pPr>
      <w:keepNext/>
      <w:keepLines/>
      <w:spacing w:before="240" w:after="240" w:line="420" w:lineRule="exact"/>
      <w:ind w:left="1134" w:right="1134"/>
    </w:pPr>
    <w:rPr>
      <w:b/>
      <w:sz w:val="40"/>
    </w:rPr>
  </w:style>
  <w:style w:type="paragraph" w:styleId="Textonotapie">
    <w:name w:val="footnote text"/>
    <w:aliases w:val="5_G,Footnote Text Char Char Char Char Char,Footnote Text Char Char Char Char,Footnote reference,FA Fu,Footnote Text Char Char Char,Footnote Text Char1 Char,Footnote Text Char1 Char Char Char,Footnote Text Char2 Char Char Char Char Char,fn"/>
    <w:basedOn w:val="Normal"/>
    <w:link w:val="TextonotapieCar"/>
    <w:qFormat/>
    <w:rsid w:val="00313431"/>
    <w:pPr>
      <w:tabs>
        <w:tab w:val="right" w:pos="1021"/>
      </w:tabs>
      <w:spacing w:line="220" w:lineRule="exact"/>
      <w:ind w:left="1134" w:right="1134" w:hanging="1134"/>
    </w:pPr>
    <w:rPr>
      <w:sz w:val="18"/>
    </w:rPr>
  </w:style>
  <w:style w:type="table" w:styleId="Tablaconcuadrcula">
    <w:name w:val="Table Grid"/>
    <w:basedOn w:val="Tablanormal"/>
    <w:rsid w:val="0031343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rsid w:val="00313431"/>
    <w:pPr>
      <w:numPr>
        <w:numId w:val="3"/>
      </w:numPr>
    </w:pPr>
  </w:style>
  <w:style w:type="numbering" w:styleId="1ai">
    <w:name w:val="Outline List 1"/>
    <w:basedOn w:val="Sinlista"/>
    <w:rsid w:val="00313431"/>
    <w:pPr>
      <w:numPr>
        <w:numId w:val="4"/>
      </w:numPr>
    </w:pPr>
  </w:style>
  <w:style w:type="character" w:styleId="AcrnimoHTML">
    <w:name w:val="HTML Acronym"/>
    <w:basedOn w:val="Fuentedeprrafopredeter"/>
    <w:semiHidden/>
    <w:rsid w:val="00313431"/>
  </w:style>
  <w:style w:type="numbering" w:styleId="ArtculoSeccin">
    <w:name w:val="Outline List 3"/>
    <w:basedOn w:val="Sinlista"/>
    <w:rsid w:val="00313431"/>
    <w:pPr>
      <w:numPr>
        <w:numId w:val="5"/>
      </w:numPr>
    </w:pPr>
  </w:style>
  <w:style w:type="paragraph" w:styleId="Cierre">
    <w:name w:val="Closing"/>
    <w:basedOn w:val="Normal"/>
    <w:link w:val="CierreCar"/>
    <w:semiHidden/>
    <w:rsid w:val="00313431"/>
    <w:pPr>
      <w:ind w:left="4252"/>
    </w:pPr>
  </w:style>
  <w:style w:type="character" w:styleId="CitaHTML">
    <w:name w:val="HTML Cite"/>
    <w:semiHidden/>
    <w:rsid w:val="00313431"/>
    <w:rPr>
      <w:i/>
      <w:iCs/>
    </w:rPr>
  </w:style>
  <w:style w:type="character" w:styleId="CdigoHTML">
    <w:name w:val="HTML Code"/>
    <w:semiHidden/>
    <w:rsid w:val="00313431"/>
    <w:rPr>
      <w:rFonts w:ascii="Courier New" w:hAnsi="Courier New" w:cs="Courier New"/>
      <w:sz w:val="20"/>
      <w:szCs w:val="20"/>
    </w:rPr>
  </w:style>
  <w:style w:type="paragraph" w:styleId="Continuarlista">
    <w:name w:val="List Continue"/>
    <w:basedOn w:val="Normal"/>
    <w:semiHidden/>
    <w:rsid w:val="00313431"/>
    <w:pPr>
      <w:spacing w:after="120"/>
      <w:ind w:left="283"/>
    </w:pPr>
  </w:style>
  <w:style w:type="paragraph" w:styleId="Continuarlista2">
    <w:name w:val="List Continue 2"/>
    <w:basedOn w:val="Normal"/>
    <w:semiHidden/>
    <w:rsid w:val="00313431"/>
    <w:pPr>
      <w:spacing w:after="120"/>
      <w:ind w:left="566"/>
    </w:pPr>
  </w:style>
  <w:style w:type="paragraph" w:styleId="Continuarlista3">
    <w:name w:val="List Continue 3"/>
    <w:basedOn w:val="Normal"/>
    <w:semiHidden/>
    <w:rsid w:val="00313431"/>
    <w:pPr>
      <w:spacing w:after="120"/>
      <w:ind w:left="849"/>
    </w:pPr>
  </w:style>
  <w:style w:type="paragraph" w:styleId="Continuarlista4">
    <w:name w:val="List Continue 4"/>
    <w:basedOn w:val="Normal"/>
    <w:semiHidden/>
    <w:rsid w:val="00313431"/>
    <w:pPr>
      <w:spacing w:after="120"/>
      <w:ind w:left="1132"/>
    </w:pPr>
  </w:style>
  <w:style w:type="paragraph" w:styleId="Continuarlista5">
    <w:name w:val="List Continue 5"/>
    <w:basedOn w:val="Normal"/>
    <w:semiHidden/>
    <w:rsid w:val="00313431"/>
    <w:pPr>
      <w:spacing w:after="120"/>
      <w:ind w:left="1415"/>
    </w:pPr>
  </w:style>
  <w:style w:type="character" w:styleId="DefinicinHTML">
    <w:name w:val="HTML Definition"/>
    <w:semiHidden/>
    <w:rsid w:val="00313431"/>
    <w:rPr>
      <w:i/>
      <w:iCs/>
    </w:rPr>
  </w:style>
  <w:style w:type="paragraph" w:styleId="DireccinHTML">
    <w:name w:val="HTML Address"/>
    <w:basedOn w:val="Normal"/>
    <w:link w:val="DireccinHTMLCar"/>
    <w:semiHidden/>
    <w:rsid w:val="00313431"/>
    <w:rPr>
      <w:i/>
      <w:iCs/>
    </w:rPr>
  </w:style>
  <w:style w:type="paragraph" w:styleId="Direccinsobre">
    <w:name w:val="envelope address"/>
    <w:basedOn w:val="Normal"/>
    <w:semiHidden/>
    <w:rsid w:val="00313431"/>
    <w:pPr>
      <w:framePr w:w="7920" w:h="1980" w:hRule="exact" w:hSpace="141" w:wrap="auto" w:hAnchor="page" w:xAlign="center" w:yAlign="bottom"/>
      <w:ind w:left="2880"/>
    </w:pPr>
    <w:rPr>
      <w:rFonts w:ascii="Arial" w:hAnsi="Arial" w:cs="Arial"/>
      <w:sz w:val="24"/>
      <w:szCs w:val="24"/>
    </w:rPr>
  </w:style>
  <w:style w:type="character" w:styleId="EjemplodeHTML">
    <w:name w:val="HTML Sample"/>
    <w:semiHidden/>
    <w:rsid w:val="00313431"/>
    <w:rPr>
      <w:rFonts w:ascii="Courier New" w:hAnsi="Courier New" w:cs="Courier New"/>
    </w:rPr>
  </w:style>
  <w:style w:type="paragraph" w:styleId="Encabezadodemensaje">
    <w:name w:val="Message Header"/>
    <w:basedOn w:val="Normal"/>
    <w:link w:val="EncabezadodemensajeCar"/>
    <w:semiHidden/>
    <w:rsid w:val="0031343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link w:val="EncabezadodenotaCar"/>
    <w:semiHidden/>
    <w:rsid w:val="00313431"/>
  </w:style>
  <w:style w:type="character" w:styleId="nfasis">
    <w:name w:val="Emphasis"/>
    <w:qFormat/>
    <w:rsid w:val="00313431"/>
    <w:rPr>
      <w:i/>
      <w:iCs/>
    </w:rPr>
  </w:style>
  <w:style w:type="paragraph" w:styleId="Fecha">
    <w:name w:val="Date"/>
    <w:basedOn w:val="Normal"/>
    <w:next w:val="Normal"/>
    <w:link w:val="FechaCar"/>
    <w:semiHidden/>
    <w:rsid w:val="00313431"/>
  </w:style>
  <w:style w:type="paragraph" w:styleId="Firma">
    <w:name w:val="Signature"/>
    <w:basedOn w:val="Normal"/>
    <w:link w:val="FirmaCar"/>
    <w:semiHidden/>
    <w:rsid w:val="00313431"/>
    <w:pPr>
      <w:ind w:left="4252"/>
    </w:pPr>
  </w:style>
  <w:style w:type="paragraph" w:styleId="Firmadecorreoelectrnico">
    <w:name w:val="E-mail Signature"/>
    <w:basedOn w:val="Normal"/>
    <w:link w:val="FirmadecorreoelectrnicoCar"/>
    <w:semiHidden/>
    <w:rsid w:val="00313431"/>
  </w:style>
  <w:style w:type="character" w:styleId="Hipervnculo">
    <w:name w:val="Hyperlink"/>
    <w:rsid w:val="00313431"/>
    <w:rPr>
      <w:color w:val="0000FF"/>
      <w:u w:val="single"/>
    </w:rPr>
  </w:style>
  <w:style w:type="character" w:styleId="Hipervnculovisitado">
    <w:name w:val="FollowedHyperlink"/>
    <w:rsid w:val="00313431"/>
    <w:rPr>
      <w:color w:val="800080"/>
      <w:u w:val="single"/>
    </w:rPr>
  </w:style>
  <w:style w:type="paragraph" w:styleId="HTMLconformatoprevio">
    <w:name w:val="HTML Preformatted"/>
    <w:basedOn w:val="Normal"/>
    <w:link w:val="HTMLconformatoprevioCar"/>
    <w:semiHidden/>
    <w:rsid w:val="00313431"/>
    <w:rPr>
      <w:rFonts w:ascii="Courier New" w:hAnsi="Courier New" w:cs="Courier New"/>
    </w:rPr>
  </w:style>
  <w:style w:type="paragraph" w:styleId="Lista">
    <w:name w:val="List"/>
    <w:basedOn w:val="Normal"/>
    <w:semiHidden/>
    <w:rsid w:val="00313431"/>
    <w:pPr>
      <w:ind w:left="283" w:hanging="283"/>
    </w:pPr>
  </w:style>
  <w:style w:type="paragraph" w:styleId="Lista2">
    <w:name w:val="List 2"/>
    <w:basedOn w:val="Normal"/>
    <w:semiHidden/>
    <w:rsid w:val="00313431"/>
    <w:pPr>
      <w:ind w:left="566" w:hanging="283"/>
    </w:pPr>
  </w:style>
  <w:style w:type="paragraph" w:styleId="Lista3">
    <w:name w:val="List 3"/>
    <w:basedOn w:val="Normal"/>
    <w:semiHidden/>
    <w:rsid w:val="00313431"/>
    <w:pPr>
      <w:ind w:left="849" w:hanging="283"/>
    </w:pPr>
  </w:style>
  <w:style w:type="paragraph" w:styleId="Lista4">
    <w:name w:val="List 4"/>
    <w:basedOn w:val="Normal"/>
    <w:semiHidden/>
    <w:rsid w:val="00313431"/>
    <w:pPr>
      <w:ind w:left="1132" w:hanging="283"/>
    </w:pPr>
  </w:style>
  <w:style w:type="paragraph" w:styleId="Lista5">
    <w:name w:val="List 5"/>
    <w:basedOn w:val="Normal"/>
    <w:semiHidden/>
    <w:rsid w:val="00313431"/>
    <w:pPr>
      <w:ind w:left="1415" w:hanging="283"/>
    </w:pPr>
  </w:style>
  <w:style w:type="paragraph" w:styleId="Listaconnmeros">
    <w:name w:val="List Number"/>
    <w:basedOn w:val="Normal"/>
    <w:semiHidden/>
    <w:rsid w:val="00313431"/>
    <w:pPr>
      <w:numPr>
        <w:numId w:val="6"/>
      </w:numPr>
    </w:pPr>
  </w:style>
  <w:style w:type="paragraph" w:styleId="Listaconnmeros2">
    <w:name w:val="List Number 2"/>
    <w:basedOn w:val="Normal"/>
    <w:semiHidden/>
    <w:rsid w:val="00313431"/>
    <w:pPr>
      <w:numPr>
        <w:numId w:val="7"/>
      </w:numPr>
    </w:pPr>
  </w:style>
  <w:style w:type="paragraph" w:styleId="Listaconnmeros3">
    <w:name w:val="List Number 3"/>
    <w:basedOn w:val="Normal"/>
    <w:semiHidden/>
    <w:rsid w:val="00313431"/>
    <w:pPr>
      <w:numPr>
        <w:numId w:val="8"/>
      </w:numPr>
    </w:pPr>
  </w:style>
  <w:style w:type="paragraph" w:styleId="Listaconnmeros4">
    <w:name w:val="List Number 4"/>
    <w:basedOn w:val="Normal"/>
    <w:semiHidden/>
    <w:rsid w:val="00313431"/>
    <w:pPr>
      <w:numPr>
        <w:numId w:val="9"/>
      </w:numPr>
    </w:pPr>
  </w:style>
  <w:style w:type="paragraph" w:styleId="Listaconnmeros5">
    <w:name w:val="List Number 5"/>
    <w:basedOn w:val="Normal"/>
    <w:semiHidden/>
    <w:rsid w:val="00313431"/>
    <w:pPr>
      <w:numPr>
        <w:numId w:val="10"/>
      </w:numPr>
    </w:pPr>
  </w:style>
  <w:style w:type="paragraph" w:styleId="Listaconvietas">
    <w:name w:val="List Bullet"/>
    <w:basedOn w:val="Normal"/>
    <w:semiHidden/>
    <w:rsid w:val="00313431"/>
    <w:pPr>
      <w:numPr>
        <w:numId w:val="11"/>
      </w:numPr>
    </w:pPr>
  </w:style>
  <w:style w:type="paragraph" w:styleId="Listaconvietas2">
    <w:name w:val="List Bullet 2"/>
    <w:basedOn w:val="Normal"/>
    <w:semiHidden/>
    <w:rsid w:val="00313431"/>
    <w:pPr>
      <w:numPr>
        <w:numId w:val="12"/>
      </w:numPr>
    </w:pPr>
  </w:style>
  <w:style w:type="paragraph" w:styleId="Listaconvietas3">
    <w:name w:val="List Bullet 3"/>
    <w:basedOn w:val="Normal"/>
    <w:semiHidden/>
    <w:rsid w:val="00313431"/>
    <w:pPr>
      <w:numPr>
        <w:numId w:val="13"/>
      </w:numPr>
    </w:pPr>
  </w:style>
  <w:style w:type="paragraph" w:styleId="Listaconvietas4">
    <w:name w:val="List Bullet 4"/>
    <w:basedOn w:val="Normal"/>
    <w:semiHidden/>
    <w:rsid w:val="00313431"/>
    <w:pPr>
      <w:numPr>
        <w:numId w:val="14"/>
      </w:numPr>
    </w:pPr>
  </w:style>
  <w:style w:type="paragraph" w:styleId="Listaconvietas5">
    <w:name w:val="List Bullet 5"/>
    <w:basedOn w:val="Normal"/>
    <w:semiHidden/>
    <w:rsid w:val="00313431"/>
    <w:pPr>
      <w:numPr>
        <w:numId w:val="15"/>
      </w:numPr>
    </w:pPr>
  </w:style>
  <w:style w:type="character" w:styleId="MquinadeescribirHTML">
    <w:name w:val="HTML Typewriter"/>
    <w:semiHidden/>
    <w:rsid w:val="00313431"/>
    <w:rPr>
      <w:rFonts w:ascii="Courier New" w:hAnsi="Courier New" w:cs="Courier New"/>
      <w:sz w:val="20"/>
      <w:szCs w:val="20"/>
    </w:rPr>
  </w:style>
  <w:style w:type="paragraph" w:styleId="NormalWeb">
    <w:name w:val="Normal (Web)"/>
    <w:basedOn w:val="Normal"/>
    <w:semiHidden/>
    <w:rsid w:val="00313431"/>
    <w:rPr>
      <w:sz w:val="24"/>
      <w:szCs w:val="24"/>
    </w:rPr>
  </w:style>
  <w:style w:type="character" w:styleId="Nmerodelnea">
    <w:name w:val="line number"/>
    <w:basedOn w:val="Fuentedeprrafopredeter"/>
    <w:semiHidden/>
    <w:rsid w:val="00313431"/>
  </w:style>
  <w:style w:type="character" w:styleId="Nmerodepgina">
    <w:name w:val="page number"/>
    <w:aliases w:val="7_G"/>
    <w:qFormat/>
    <w:rsid w:val="00313431"/>
    <w:rPr>
      <w:b/>
      <w:sz w:val="18"/>
    </w:rPr>
  </w:style>
  <w:style w:type="character" w:styleId="Refdenotaalfinal">
    <w:name w:val="endnote reference"/>
    <w:aliases w:val="1_G"/>
    <w:basedOn w:val="Refdenotaalpie"/>
    <w:qFormat/>
    <w:rsid w:val="00313431"/>
    <w:rPr>
      <w:rFonts w:ascii="Times New Roman" w:hAnsi="Times New Roman"/>
      <w:sz w:val="18"/>
      <w:vertAlign w:val="superscript"/>
    </w:rPr>
  </w:style>
  <w:style w:type="paragraph" w:styleId="Remitedesobre">
    <w:name w:val="envelope return"/>
    <w:basedOn w:val="Normal"/>
    <w:semiHidden/>
    <w:rsid w:val="00313431"/>
    <w:rPr>
      <w:rFonts w:ascii="Arial" w:hAnsi="Arial" w:cs="Arial"/>
    </w:rPr>
  </w:style>
  <w:style w:type="paragraph" w:styleId="Saludo">
    <w:name w:val="Salutation"/>
    <w:basedOn w:val="Normal"/>
    <w:next w:val="Normal"/>
    <w:link w:val="SaludoCar"/>
    <w:semiHidden/>
    <w:rsid w:val="00313431"/>
  </w:style>
  <w:style w:type="paragraph" w:styleId="Sangra2detindependiente">
    <w:name w:val="Body Text Indent 2"/>
    <w:basedOn w:val="Normal"/>
    <w:link w:val="Sangra2detindependienteCar"/>
    <w:semiHidden/>
    <w:rsid w:val="00313431"/>
    <w:pPr>
      <w:spacing w:after="120" w:line="480" w:lineRule="auto"/>
      <w:ind w:left="283"/>
    </w:pPr>
  </w:style>
  <w:style w:type="paragraph" w:styleId="Sangra3detindependiente">
    <w:name w:val="Body Text Indent 3"/>
    <w:basedOn w:val="Normal"/>
    <w:link w:val="Sangra3detindependienteCar"/>
    <w:semiHidden/>
    <w:rsid w:val="00313431"/>
    <w:pPr>
      <w:spacing w:after="120"/>
      <w:ind w:left="283"/>
    </w:pPr>
    <w:rPr>
      <w:sz w:val="16"/>
      <w:szCs w:val="16"/>
    </w:rPr>
  </w:style>
  <w:style w:type="paragraph" w:styleId="Sangradetextonormal">
    <w:name w:val="Body Text Indent"/>
    <w:basedOn w:val="Normal"/>
    <w:link w:val="SangradetextonormalCar"/>
    <w:semiHidden/>
    <w:rsid w:val="00313431"/>
    <w:pPr>
      <w:spacing w:after="120"/>
      <w:ind w:left="283"/>
    </w:pPr>
  </w:style>
  <w:style w:type="paragraph" w:styleId="Sangranormal">
    <w:name w:val="Normal Indent"/>
    <w:basedOn w:val="Normal"/>
    <w:semiHidden/>
    <w:rsid w:val="00313431"/>
    <w:pPr>
      <w:ind w:left="567"/>
    </w:pPr>
  </w:style>
  <w:style w:type="paragraph" w:styleId="Subttulo">
    <w:name w:val="Subtitle"/>
    <w:basedOn w:val="Normal"/>
    <w:link w:val="SubttuloCar"/>
    <w:qFormat/>
    <w:rsid w:val="00313431"/>
    <w:pPr>
      <w:spacing w:after="60"/>
      <w:jc w:val="center"/>
      <w:outlineLvl w:val="1"/>
    </w:pPr>
    <w:rPr>
      <w:rFonts w:ascii="Arial" w:hAnsi="Arial" w:cs="Arial"/>
      <w:sz w:val="24"/>
      <w:szCs w:val="24"/>
    </w:rPr>
  </w:style>
  <w:style w:type="table" w:styleId="Tablabsica1">
    <w:name w:val="Table Simple 1"/>
    <w:basedOn w:val="Tablanormal"/>
    <w:rsid w:val="00313431"/>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313431"/>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313431"/>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313431"/>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313431"/>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313431"/>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313431"/>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rsid w:val="00313431"/>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313431"/>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313431"/>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313431"/>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313431"/>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rsid w:val="00313431"/>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rsid w:val="00313431"/>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rsid w:val="00313431"/>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rsid w:val="00313431"/>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313431"/>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313431"/>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313431"/>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313431"/>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rsid w:val="00313431"/>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313431"/>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313431"/>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313431"/>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313431"/>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313431"/>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313431"/>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313431"/>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313431"/>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313431"/>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313431"/>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rsid w:val="0031343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313431"/>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rsid w:val="00313431"/>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rsid w:val="00313431"/>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313431"/>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313431"/>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rsid w:val="00313431"/>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313431"/>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313431"/>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rsid w:val="00313431"/>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313431"/>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313431"/>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semiHidden/>
    <w:rsid w:val="00313431"/>
    <w:rPr>
      <w:rFonts w:ascii="Courier New" w:hAnsi="Courier New" w:cs="Courier New"/>
      <w:sz w:val="20"/>
      <w:szCs w:val="20"/>
    </w:rPr>
  </w:style>
  <w:style w:type="paragraph" w:styleId="Textodebloque">
    <w:name w:val="Block Text"/>
    <w:basedOn w:val="Normal"/>
    <w:semiHidden/>
    <w:rsid w:val="00313431"/>
    <w:pPr>
      <w:spacing w:after="120"/>
      <w:ind w:left="1440" w:right="1440"/>
    </w:pPr>
  </w:style>
  <w:style w:type="character" w:styleId="Textoennegrita">
    <w:name w:val="Strong"/>
    <w:qFormat/>
    <w:rsid w:val="00313431"/>
    <w:rPr>
      <w:b/>
      <w:bCs/>
    </w:rPr>
  </w:style>
  <w:style w:type="paragraph" w:styleId="Textoindependiente">
    <w:name w:val="Body Text"/>
    <w:basedOn w:val="Normal"/>
    <w:link w:val="TextoindependienteCar"/>
    <w:semiHidden/>
    <w:rsid w:val="00313431"/>
    <w:pPr>
      <w:spacing w:after="120"/>
    </w:pPr>
  </w:style>
  <w:style w:type="paragraph" w:styleId="Textoindependiente2">
    <w:name w:val="Body Text 2"/>
    <w:basedOn w:val="Normal"/>
    <w:link w:val="Textoindependiente2Car"/>
    <w:semiHidden/>
    <w:rsid w:val="00313431"/>
    <w:pPr>
      <w:spacing w:after="120" w:line="480" w:lineRule="auto"/>
    </w:pPr>
  </w:style>
  <w:style w:type="paragraph" w:styleId="Textoindependiente3">
    <w:name w:val="Body Text 3"/>
    <w:basedOn w:val="Normal"/>
    <w:link w:val="Textoindependiente3Car"/>
    <w:semiHidden/>
    <w:rsid w:val="00313431"/>
    <w:pPr>
      <w:spacing w:after="120"/>
    </w:pPr>
    <w:rPr>
      <w:sz w:val="16"/>
      <w:szCs w:val="16"/>
    </w:rPr>
  </w:style>
  <w:style w:type="paragraph" w:styleId="Textoindependienteprimerasangra">
    <w:name w:val="Body Text First Indent"/>
    <w:basedOn w:val="Textoindependiente"/>
    <w:link w:val="TextoindependienteprimerasangraCar"/>
    <w:semiHidden/>
    <w:rsid w:val="00313431"/>
    <w:pPr>
      <w:ind w:firstLine="210"/>
    </w:pPr>
  </w:style>
  <w:style w:type="paragraph" w:styleId="Textoindependienteprimerasangra2">
    <w:name w:val="Body Text First Indent 2"/>
    <w:basedOn w:val="Sangradetextonormal"/>
    <w:link w:val="Textoindependienteprimerasangra2Car"/>
    <w:semiHidden/>
    <w:rsid w:val="00313431"/>
    <w:pPr>
      <w:ind w:firstLine="210"/>
    </w:pPr>
  </w:style>
  <w:style w:type="paragraph" w:styleId="Textonotaalfinal">
    <w:name w:val="endnote text"/>
    <w:aliases w:val="2_G"/>
    <w:basedOn w:val="Textonotapie"/>
    <w:link w:val="TextonotaalfinalCar"/>
    <w:qFormat/>
    <w:rsid w:val="00313431"/>
  </w:style>
  <w:style w:type="paragraph" w:styleId="Textosinformato">
    <w:name w:val="Plain Text"/>
    <w:basedOn w:val="Normal"/>
    <w:link w:val="TextosinformatoCar"/>
    <w:semiHidden/>
    <w:rsid w:val="00313431"/>
    <w:rPr>
      <w:rFonts w:ascii="Courier New" w:hAnsi="Courier New" w:cs="Courier New"/>
    </w:rPr>
  </w:style>
  <w:style w:type="paragraph" w:styleId="Ttulo">
    <w:name w:val="Title"/>
    <w:basedOn w:val="Normal"/>
    <w:link w:val="TtuloCar"/>
    <w:qFormat/>
    <w:rsid w:val="00313431"/>
    <w:pPr>
      <w:spacing w:before="240" w:after="60"/>
      <w:jc w:val="center"/>
      <w:outlineLvl w:val="0"/>
    </w:pPr>
    <w:rPr>
      <w:rFonts w:ascii="Arial" w:hAnsi="Arial" w:cs="Arial"/>
      <w:b/>
      <w:bCs/>
      <w:kern w:val="28"/>
      <w:sz w:val="32"/>
      <w:szCs w:val="32"/>
    </w:rPr>
  </w:style>
  <w:style w:type="character" w:styleId="VariableHTML">
    <w:name w:val="HTML Variable"/>
    <w:semiHidden/>
    <w:rsid w:val="00313431"/>
    <w:rPr>
      <w:i/>
      <w:iCs/>
    </w:rPr>
  </w:style>
  <w:style w:type="paragraph" w:customStyle="1" w:styleId="Bullet1G">
    <w:name w:val="_Bullet 1_G"/>
    <w:basedOn w:val="Normal"/>
    <w:qFormat/>
    <w:rsid w:val="00313431"/>
    <w:pPr>
      <w:numPr>
        <w:numId w:val="1"/>
      </w:numPr>
      <w:spacing w:after="120"/>
      <w:ind w:right="1134"/>
      <w:jc w:val="both"/>
    </w:pPr>
    <w:rPr>
      <w:lang w:eastAsia="en-US"/>
    </w:rPr>
  </w:style>
  <w:style w:type="paragraph" w:customStyle="1" w:styleId="Bullet2G">
    <w:name w:val="_Bullet 2_G"/>
    <w:basedOn w:val="Normal"/>
    <w:qFormat/>
    <w:rsid w:val="00313431"/>
    <w:pPr>
      <w:numPr>
        <w:numId w:val="2"/>
      </w:numPr>
      <w:spacing w:after="120"/>
      <w:ind w:right="1134"/>
      <w:jc w:val="both"/>
    </w:pPr>
  </w:style>
  <w:style w:type="table" w:customStyle="1" w:styleId="TableGrid1">
    <w:name w:val="Table Grid1"/>
    <w:basedOn w:val="Tablanormal"/>
    <w:next w:val="Tablaconcuadrcula"/>
    <w:rsid w:val="00EE5C47"/>
    <w:pPr>
      <w:suppressAutoHyphens/>
      <w:spacing w:line="240" w:lineRule="atLeast"/>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har">
    <w:name w:val="_ Single Txt_G Char"/>
    <w:link w:val="SingleTxtG"/>
    <w:rsid w:val="00D06FDA"/>
    <w:rPr>
      <w:lang w:val="es-ES" w:eastAsia="es-ES"/>
    </w:rPr>
  </w:style>
  <w:style w:type="character" w:customStyle="1" w:styleId="TextonotapieCar">
    <w:name w:val="Texto nota pie Car"/>
    <w:aliases w:val="5_G Car,Footnote Text Char Char Char Char Char Car,Footnote Text Char Char Char Char Car,Footnote reference Car,FA Fu Car,Footnote Text Char Char Char Car,Footnote Text Char1 Char Car,Footnote Text Char1 Char Char Char Car,fn Car"/>
    <w:basedOn w:val="Fuentedeprrafopredeter"/>
    <w:link w:val="Textonotapie"/>
    <w:rsid w:val="00D06FDA"/>
    <w:rPr>
      <w:sz w:val="18"/>
      <w:lang w:val="es-ES" w:eastAsia="es-ES"/>
    </w:rPr>
  </w:style>
  <w:style w:type="character" w:styleId="nfasissutil">
    <w:name w:val="Subtle Emphasis"/>
    <w:basedOn w:val="Fuentedeprrafopredeter"/>
    <w:uiPriority w:val="19"/>
    <w:rsid w:val="00625DA2"/>
    <w:rPr>
      <w:i/>
      <w:iCs/>
      <w:color w:val="808080" w:themeColor="text1" w:themeTint="7F"/>
    </w:rPr>
  </w:style>
  <w:style w:type="paragraph" w:styleId="Prrafodelista">
    <w:name w:val="List Paragraph"/>
    <w:basedOn w:val="Normal"/>
    <w:uiPriority w:val="34"/>
    <w:qFormat/>
    <w:rsid w:val="00625DA2"/>
    <w:pPr>
      <w:ind w:left="567"/>
    </w:pPr>
  </w:style>
  <w:style w:type="character" w:styleId="nfasisintenso">
    <w:name w:val="Intense Emphasis"/>
    <w:uiPriority w:val="21"/>
    <w:rsid w:val="00625DA2"/>
    <w:rPr>
      <w:b/>
      <w:bCs/>
      <w:i/>
      <w:iCs/>
      <w:color w:val="4F81BD"/>
    </w:rPr>
  </w:style>
  <w:style w:type="paragraph" w:styleId="Citadestacada">
    <w:name w:val="Intense Quote"/>
    <w:basedOn w:val="Normal"/>
    <w:next w:val="Normal"/>
    <w:link w:val="CitadestacadaCar"/>
    <w:uiPriority w:val="30"/>
    <w:rsid w:val="00625DA2"/>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625DA2"/>
    <w:rPr>
      <w:b/>
      <w:bCs/>
      <w:i/>
      <w:iCs/>
      <w:color w:val="4F81BD"/>
      <w:lang w:val="es-ES" w:eastAsia="es-ES"/>
    </w:rPr>
  </w:style>
  <w:style w:type="character" w:customStyle="1" w:styleId="Ttulo1Car">
    <w:name w:val="Título 1 Car"/>
    <w:aliases w:val="Table_G Car,Cuadro_G Car"/>
    <w:basedOn w:val="Fuentedeprrafopredeter"/>
    <w:link w:val="Ttulo1"/>
    <w:rsid w:val="00625DA2"/>
    <w:rPr>
      <w:rFonts w:cs="Arial"/>
      <w:bCs/>
      <w:szCs w:val="32"/>
      <w:lang w:val="es-ES" w:eastAsia="es-ES"/>
    </w:rPr>
  </w:style>
  <w:style w:type="character" w:customStyle="1" w:styleId="SubttuloCar">
    <w:name w:val="Subtítulo Car"/>
    <w:basedOn w:val="Fuentedeprrafopredeter"/>
    <w:link w:val="Subttulo"/>
    <w:rsid w:val="00625DA2"/>
    <w:rPr>
      <w:rFonts w:ascii="Arial" w:hAnsi="Arial" w:cs="Arial"/>
      <w:sz w:val="24"/>
      <w:szCs w:val="24"/>
      <w:lang w:val="es-ES" w:eastAsia="es-ES"/>
    </w:rPr>
  </w:style>
  <w:style w:type="character" w:customStyle="1" w:styleId="CierreCar">
    <w:name w:val="Cierre Car"/>
    <w:basedOn w:val="Fuentedeprrafopredeter"/>
    <w:link w:val="Cierre"/>
    <w:semiHidden/>
    <w:rsid w:val="00625DA2"/>
    <w:rPr>
      <w:lang w:val="es-ES" w:eastAsia="es-ES"/>
    </w:rPr>
  </w:style>
  <w:style w:type="character" w:styleId="Refdecomentario">
    <w:name w:val="annotation reference"/>
    <w:basedOn w:val="Fuentedeprrafopredeter"/>
    <w:rsid w:val="00625DA2"/>
    <w:rPr>
      <w:sz w:val="16"/>
      <w:szCs w:val="16"/>
    </w:rPr>
  </w:style>
  <w:style w:type="paragraph" w:styleId="Textocomentario">
    <w:name w:val="annotation text"/>
    <w:basedOn w:val="Normal"/>
    <w:link w:val="TextocomentarioCar"/>
    <w:rsid w:val="00625DA2"/>
    <w:pPr>
      <w:spacing w:line="240" w:lineRule="auto"/>
    </w:pPr>
  </w:style>
  <w:style w:type="character" w:customStyle="1" w:styleId="TextocomentarioCar">
    <w:name w:val="Texto comentario Car"/>
    <w:basedOn w:val="Fuentedeprrafopredeter"/>
    <w:link w:val="Textocomentario"/>
    <w:rsid w:val="00625DA2"/>
    <w:rPr>
      <w:lang w:val="es-ES" w:eastAsia="es-ES"/>
    </w:rPr>
  </w:style>
  <w:style w:type="paragraph" w:styleId="Asuntodelcomentario">
    <w:name w:val="annotation subject"/>
    <w:basedOn w:val="Textocomentario"/>
    <w:next w:val="Textocomentario"/>
    <w:link w:val="AsuntodelcomentarioCar"/>
    <w:rsid w:val="00625DA2"/>
    <w:rPr>
      <w:b/>
      <w:bCs/>
    </w:rPr>
  </w:style>
  <w:style w:type="character" w:customStyle="1" w:styleId="AsuntodelcomentarioCar">
    <w:name w:val="Asunto del comentario Car"/>
    <w:basedOn w:val="TextocomentarioCar"/>
    <w:link w:val="Asuntodelcomentario"/>
    <w:rsid w:val="00625DA2"/>
    <w:rPr>
      <w:b/>
      <w:bCs/>
      <w:lang w:val="es-ES" w:eastAsia="es-ES"/>
    </w:rPr>
  </w:style>
  <w:style w:type="character" w:customStyle="1" w:styleId="DireccinHTMLCar">
    <w:name w:val="Dirección HTML Car"/>
    <w:basedOn w:val="Fuentedeprrafopredeter"/>
    <w:link w:val="DireccinHTML"/>
    <w:semiHidden/>
    <w:rsid w:val="00625DA2"/>
    <w:rPr>
      <w:i/>
      <w:iCs/>
      <w:lang w:val="es-ES" w:eastAsia="es-ES"/>
    </w:rPr>
  </w:style>
  <w:style w:type="character" w:customStyle="1" w:styleId="EncabezadodemensajeCar">
    <w:name w:val="Encabezado de mensaje Car"/>
    <w:basedOn w:val="Fuentedeprrafopredeter"/>
    <w:link w:val="Encabezadodemensaje"/>
    <w:semiHidden/>
    <w:rsid w:val="00625DA2"/>
    <w:rPr>
      <w:rFonts w:ascii="Arial" w:hAnsi="Arial" w:cs="Arial"/>
      <w:sz w:val="24"/>
      <w:szCs w:val="24"/>
      <w:shd w:val="pct20" w:color="auto" w:fill="auto"/>
      <w:lang w:val="es-ES" w:eastAsia="es-ES"/>
    </w:rPr>
  </w:style>
  <w:style w:type="character" w:customStyle="1" w:styleId="EncabezadodenotaCar">
    <w:name w:val="Encabezado de nota Car"/>
    <w:basedOn w:val="Fuentedeprrafopredeter"/>
    <w:link w:val="Encabezadodenota"/>
    <w:semiHidden/>
    <w:rsid w:val="00625DA2"/>
    <w:rPr>
      <w:lang w:val="es-ES" w:eastAsia="es-ES"/>
    </w:rPr>
  </w:style>
  <w:style w:type="character" w:customStyle="1" w:styleId="EncabezadoCar">
    <w:name w:val="Encabezado Car"/>
    <w:aliases w:val="6_G Car"/>
    <w:basedOn w:val="Fuentedeprrafopredeter"/>
    <w:link w:val="Encabezado"/>
    <w:rsid w:val="00625DA2"/>
    <w:rPr>
      <w:b/>
      <w:sz w:val="18"/>
      <w:lang w:val="es-ES" w:eastAsia="es-ES"/>
    </w:rPr>
  </w:style>
  <w:style w:type="character" w:customStyle="1" w:styleId="FechaCar">
    <w:name w:val="Fecha Car"/>
    <w:basedOn w:val="Fuentedeprrafopredeter"/>
    <w:link w:val="Fecha"/>
    <w:semiHidden/>
    <w:rsid w:val="00625DA2"/>
    <w:rPr>
      <w:lang w:val="es-ES" w:eastAsia="es-ES"/>
    </w:rPr>
  </w:style>
  <w:style w:type="character" w:customStyle="1" w:styleId="FirmaCar">
    <w:name w:val="Firma Car"/>
    <w:basedOn w:val="Fuentedeprrafopredeter"/>
    <w:link w:val="Firma"/>
    <w:semiHidden/>
    <w:rsid w:val="00625DA2"/>
    <w:rPr>
      <w:lang w:val="es-ES" w:eastAsia="es-ES"/>
    </w:rPr>
  </w:style>
  <w:style w:type="character" w:customStyle="1" w:styleId="FirmadecorreoelectrnicoCar">
    <w:name w:val="Firma de correo electrónico Car"/>
    <w:basedOn w:val="Fuentedeprrafopredeter"/>
    <w:link w:val="Firmadecorreoelectrnico"/>
    <w:semiHidden/>
    <w:rsid w:val="00625DA2"/>
    <w:rPr>
      <w:lang w:val="es-ES" w:eastAsia="es-ES"/>
    </w:rPr>
  </w:style>
  <w:style w:type="character" w:customStyle="1" w:styleId="HTMLconformatoprevioCar">
    <w:name w:val="HTML con formato previo Car"/>
    <w:basedOn w:val="Fuentedeprrafopredeter"/>
    <w:link w:val="HTMLconformatoprevio"/>
    <w:semiHidden/>
    <w:rsid w:val="00625DA2"/>
    <w:rPr>
      <w:rFonts w:ascii="Courier New" w:hAnsi="Courier New" w:cs="Courier New"/>
      <w:lang w:val="es-ES" w:eastAsia="es-ES"/>
    </w:rPr>
  </w:style>
  <w:style w:type="character" w:customStyle="1" w:styleId="PiedepginaCar">
    <w:name w:val="Pie de página Car"/>
    <w:aliases w:val="3_G Car"/>
    <w:basedOn w:val="Fuentedeprrafopredeter"/>
    <w:link w:val="Piedepgina"/>
    <w:rsid w:val="00625DA2"/>
    <w:rPr>
      <w:sz w:val="16"/>
      <w:lang w:val="es-ES" w:eastAsia="es-ES"/>
    </w:rPr>
  </w:style>
  <w:style w:type="character" w:customStyle="1" w:styleId="SaludoCar">
    <w:name w:val="Saludo Car"/>
    <w:basedOn w:val="Fuentedeprrafopredeter"/>
    <w:link w:val="Saludo"/>
    <w:semiHidden/>
    <w:rsid w:val="00625DA2"/>
    <w:rPr>
      <w:lang w:val="es-ES" w:eastAsia="es-ES"/>
    </w:rPr>
  </w:style>
  <w:style w:type="character" w:customStyle="1" w:styleId="Sangra2detindependienteCar">
    <w:name w:val="Sangría 2 de t. independiente Car"/>
    <w:basedOn w:val="Fuentedeprrafopredeter"/>
    <w:link w:val="Sangra2detindependiente"/>
    <w:semiHidden/>
    <w:rsid w:val="00625DA2"/>
    <w:rPr>
      <w:lang w:val="es-ES" w:eastAsia="es-ES"/>
    </w:rPr>
  </w:style>
  <w:style w:type="character" w:customStyle="1" w:styleId="Sangra3detindependienteCar">
    <w:name w:val="Sangría 3 de t. independiente Car"/>
    <w:basedOn w:val="Fuentedeprrafopredeter"/>
    <w:link w:val="Sangra3detindependiente"/>
    <w:semiHidden/>
    <w:rsid w:val="00625DA2"/>
    <w:rPr>
      <w:sz w:val="16"/>
      <w:szCs w:val="16"/>
      <w:lang w:val="es-ES" w:eastAsia="es-ES"/>
    </w:rPr>
  </w:style>
  <w:style w:type="character" w:customStyle="1" w:styleId="SangradetextonormalCar">
    <w:name w:val="Sangría de texto normal Car"/>
    <w:basedOn w:val="Fuentedeprrafopredeter"/>
    <w:link w:val="Sangradetextonormal"/>
    <w:semiHidden/>
    <w:rsid w:val="00625DA2"/>
    <w:rPr>
      <w:lang w:val="es-ES" w:eastAsia="es-ES"/>
    </w:rPr>
  </w:style>
  <w:style w:type="character" w:customStyle="1" w:styleId="TextoindependienteCar">
    <w:name w:val="Texto independiente Car"/>
    <w:basedOn w:val="Fuentedeprrafopredeter"/>
    <w:link w:val="Textoindependiente"/>
    <w:semiHidden/>
    <w:rsid w:val="00625DA2"/>
    <w:rPr>
      <w:lang w:val="es-ES" w:eastAsia="es-ES"/>
    </w:rPr>
  </w:style>
  <w:style w:type="character" w:customStyle="1" w:styleId="Textoindependiente2Car">
    <w:name w:val="Texto independiente 2 Car"/>
    <w:basedOn w:val="Fuentedeprrafopredeter"/>
    <w:link w:val="Textoindependiente2"/>
    <w:semiHidden/>
    <w:rsid w:val="00625DA2"/>
    <w:rPr>
      <w:lang w:val="es-ES" w:eastAsia="es-ES"/>
    </w:rPr>
  </w:style>
  <w:style w:type="character" w:customStyle="1" w:styleId="Textoindependiente3Car">
    <w:name w:val="Texto independiente 3 Car"/>
    <w:basedOn w:val="Fuentedeprrafopredeter"/>
    <w:link w:val="Textoindependiente3"/>
    <w:semiHidden/>
    <w:rsid w:val="00625DA2"/>
    <w:rPr>
      <w:sz w:val="16"/>
      <w:szCs w:val="16"/>
      <w:lang w:val="es-ES" w:eastAsia="es-ES"/>
    </w:rPr>
  </w:style>
  <w:style w:type="character" w:customStyle="1" w:styleId="TextoindependienteprimerasangraCar">
    <w:name w:val="Texto independiente primera sangría Car"/>
    <w:basedOn w:val="TextoindependienteCar"/>
    <w:link w:val="Textoindependienteprimerasangra"/>
    <w:semiHidden/>
    <w:rsid w:val="00625DA2"/>
    <w:rPr>
      <w:lang w:val="es-ES" w:eastAsia="es-ES"/>
    </w:rPr>
  </w:style>
  <w:style w:type="character" w:customStyle="1" w:styleId="Textoindependienteprimerasangra2Car">
    <w:name w:val="Texto independiente primera sangría 2 Car"/>
    <w:basedOn w:val="SangradetextonormalCar"/>
    <w:link w:val="Textoindependienteprimerasangra2"/>
    <w:semiHidden/>
    <w:rsid w:val="00625DA2"/>
    <w:rPr>
      <w:lang w:val="es-ES" w:eastAsia="es-ES"/>
    </w:rPr>
  </w:style>
  <w:style w:type="character" w:customStyle="1" w:styleId="TextonotaalfinalCar">
    <w:name w:val="Texto nota al final Car"/>
    <w:aliases w:val="2_G Car"/>
    <w:basedOn w:val="Fuentedeprrafopredeter"/>
    <w:link w:val="Textonotaalfinal"/>
    <w:rsid w:val="00625DA2"/>
    <w:rPr>
      <w:sz w:val="18"/>
      <w:lang w:val="es-ES" w:eastAsia="es-ES"/>
    </w:rPr>
  </w:style>
  <w:style w:type="character" w:customStyle="1" w:styleId="TextosinformatoCar">
    <w:name w:val="Texto sin formato Car"/>
    <w:basedOn w:val="Fuentedeprrafopredeter"/>
    <w:link w:val="Textosinformato"/>
    <w:semiHidden/>
    <w:rsid w:val="00625DA2"/>
    <w:rPr>
      <w:rFonts w:ascii="Courier New" w:hAnsi="Courier New" w:cs="Courier New"/>
      <w:lang w:val="es-ES" w:eastAsia="es-ES"/>
    </w:rPr>
  </w:style>
  <w:style w:type="character" w:customStyle="1" w:styleId="TtuloCar">
    <w:name w:val="Título Car"/>
    <w:basedOn w:val="Fuentedeprrafopredeter"/>
    <w:link w:val="Ttulo"/>
    <w:rsid w:val="00625DA2"/>
    <w:rPr>
      <w:rFonts w:ascii="Arial" w:hAnsi="Arial" w:cs="Arial"/>
      <w:b/>
      <w:bCs/>
      <w:kern w:val="28"/>
      <w:sz w:val="32"/>
      <w:szCs w:val="32"/>
      <w:lang w:val="es-ES" w:eastAsia="es-ES"/>
    </w:rPr>
  </w:style>
  <w:style w:type="paragraph" w:styleId="Sinespaciado">
    <w:name w:val="No Spacing"/>
    <w:uiPriority w:val="1"/>
    <w:qFormat/>
    <w:rsid w:val="00625DA2"/>
    <w:rPr>
      <w:rFonts w:ascii="Calibri" w:eastAsia="Calibri" w:hAnsi="Calibri"/>
      <w:sz w:val="22"/>
      <w:szCs w:val="22"/>
      <w:lang w:val="en-GB" w:eastAsia="en-US"/>
    </w:rPr>
  </w:style>
  <w:style w:type="paragraph" w:customStyle="1" w:styleId="H1">
    <w:name w:val="_ H_1"/>
    <w:basedOn w:val="Normal"/>
    <w:next w:val="Normal"/>
    <w:qFormat/>
    <w:rsid w:val="00625DA2"/>
    <w:pPr>
      <w:keepNext/>
      <w:keepLines/>
      <w:suppressAutoHyphens/>
      <w:spacing w:line="270" w:lineRule="exact"/>
      <w:outlineLvl w:val="0"/>
    </w:pPr>
    <w:rPr>
      <w:rFonts w:eastAsiaTheme="minorHAnsi"/>
      <w:b/>
      <w:spacing w:val="4"/>
      <w:w w:val="103"/>
      <w:kern w:val="14"/>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20FORMA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47af47dd5ac2a81c237a68766655cc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ABEC-52AC-4240-B0C1-F1C4A9D8C1AC}">
  <ds:schemaRefs>
    <ds:schemaRef ds:uri="http://schemas.microsoft.com/sharepoint/v3/contenttype/forms"/>
  </ds:schemaRefs>
</ds:datastoreItem>
</file>

<file path=customXml/itemProps2.xml><?xml version="1.0" encoding="utf-8"?>
<ds:datastoreItem xmlns:ds="http://schemas.openxmlformats.org/officeDocument/2006/customXml" ds:itemID="{03817004-7F81-44F7-8BD4-B453747099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58BADF-D191-46B3-84B8-9F72931F1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46EBA6F-D04D-4D6B-86EC-9F65029B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mplate>
  <TotalTime>0</TotalTime>
  <Pages>8</Pages>
  <Words>9401</Words>
  <Characters>51711</Characters>
  <Application>Microsoft Office Word</Application>
  <DocSecurity>0</DocSecurity>
  <Lines>430</Lines>
  <Paragraphs>121</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CRPD/C/22/DR/32/2015</vt:lpstr>
      <vt:lpstr>CRPD/C/22/DR/32/2015</vt:lpstr>
      <vt:lpstr>E/C.12/</vt:lpstr>
    </vt:vector>
  </TitlesOfParts>
  <Company/>
  <LinksUpToDate>false</LinksUpToDate>
  <CharactersWithSpaces>60991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CRPD/C/22/DR/32/2015</dc:title>
  <dc:subject/>
  <dc:creator>Maria Luisa Zeballos Moreno</dc:creator>
  <cp:keywords/>
  <dc:description/>
  <cp:lastModifiedBy>PJCDMX</cp:lastModifiedBy>
  <cp:revision>2</cp:revision>
  <cp:lastPrinted>2019-06-13T07:16:00Z</cp:lastPrinted>
  <dcterms:created xsi:type="dcterms:W3CDTF">2022-10-28T18:18:00Z</dcterms:created>
  <dcterms:modified xsi:type="dcterms:W3CDTF">2022-10-28T18:18:00Z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